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5E64340E" w:rsidR="00CC781C" w:rsidRDefault="000B3D25">
      <w:pPr>
        <w:spacing w:before="240"/>
        <w:jc w:val="center"/>
        <w:rPr>
          <w:rFonts w:ascii="Cambria" w:eastAsia="Cambria" w:hAnsi="Cambria" w:cs="Cambria"/>
          <w:b/>
          <w:smallCaps/>
          <w:color w:val="403152"/>
          <w:sz w:val="40"/>
          <w:szCs w:val="40"/>
        </w:rPr>
      </w:pPr>
      <w:sdt>
        <w:sdtPr>
          <w:tag w:val="goog_rdk_0"/>
          <w:id w:val="-826363511"/>
        </w:sdtPr>
        <w:sdtEndPr/>
        <w:sdtContent/>
      </w:sdt>
      <w:r w:rsidR="00620CF4">
        <w:rPr>
          <w:rFonts w:ascii="Cambria" w:eastAsia="Cambria" w:hAnsi="Cambria" w:cs="Cambria"/>
          <w:b/>
          <w:smallCaps/>
          <w:color w:val="403152"/>
          <w:sz w:val="40"/>
          <w:szCs w:val="40"/>
        </w:rPr>
        <w:t xml:space="preserve">Horizon Europe – Cluster </w:t>
      </w:r>
      <w:proofErr w:type="gramStart"/>
      <w:r w:rsidR="00620CF4">
        <w:rPr>
          <w:rFonts w:ascii="Cambria" w:eastAsia="Cambria" w:hAnsi="Cambria" w:cs="Cambria"/>
          <w:b/>
          <w:smallCaps/>
          <w:color w:val="403152"/>
          <w:sz w:val="40"/>
          <w:szCs w:val="40"/>
        </w:rPr>
        <w:t>1</w:t>
      </w:r>
      <w:r w:rsidR="0071744F">
        <w:rPr>
          <w:rFonts w:ascii="Cambria" w:eastAsia="Cambria" w:hAnsi="Cambria" w:cs="Cambria"/>
          <w:b/>
          <w:smallCaps/>
          <w:color w:val="403152"/>
          <w:sz w:val="40"/>
          <w:szCs w:val="40"/>
        </w:rPr>
        <w:t>  «</w:t>
      </w:r>
      <w:proofErr w:type="gramEnd"/>
      <w:r w:rsidR="0071744F">
        <w:rPr>
          <w:rFonts w:ascii="Cambria" w:eastAsia="Cambria" w:hAnsi="Cambria" w:cs="Cambria"/>
          <w:b/>
          <w:smallCaps/>
          <w:color w:val="403152"/>
          <w:sz w:val="40"/>
          <w:szCs w:val="40"/>
        </w:rPr>
        <w:t> Santé »</w:t>
      </w:r>
    </w:p>
    <w:p w14:paraId="78F22A36" w14:textId="0FF97DA1" w:rsidR="00620CF4" w:rsidRDefault="00620CF4">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7155438E" wp14:editId="31F3143E">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2B2433B1" w14:textId="6F003945" w:rsidR="00932D39" w:rsidRDefault="00932D39">
      <w:pPr>
        <w:pBdr>
          <w:top w:val="nil"/>
          <w:left w:val="nil"/>
          <w:bottom w:val="nil"/>
          <w:right w:val="nil"/>
          <w:between w:val="nil"/>
        </w:pBdr>
      </w:pPr>
    </w:p>
    <w:p w14:paraId="4CA53A17" w14:textId="79B25FD7" w:rsidR="00BD3F7C" w:rsidRDefault="00BD3F7C" w:rsidP="00BD3F7C">
      <w:pPr>
        <w:pStyle w:val="EnvTitreparagraphe"/>
        <w:numPr>
          <w:ilvl w:val="0"/>
          <w:numId w:val="0"/>
        </w:numPr>
        <w:spacing w:before="0"/>
        <w:ind w:left="360" w:hanging="360"/>
        <w:rPr>
          <w:sz w:val="24"/>
          <w:szCs w:val="24"/>
        </w:rPr>
      </w:pPr>
    </w:p>
    <w:tbl>
      <w:tblPr>
        <w:tblStyle w:val="Grilledutableau"/>
        <w:tblW w:w="9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694"/>
        <w:gridCol w:w="2693"/>
        <w:gridCol w:w="2384"/>
        <w:gridCol w:w="1981"/>
      </w:tblGrid>
      <w:tr w:rsidR="00BD3F7C" w14:paraId="15D6ACC7" w14:textId="77777777" w:rsidTr="00A64727">
        <w:trPr>
          <w:trHeight w:val="787"/>
        </w:trPr>
        <w:tc>
          <w:tcPr>
            <w:tcW w:w="2694" w:type="dxa"/>
            <w:shd w:val="clear" w:color="auto" w:fill="CCC0D9" w:themeFill="accent4" w:themeFillTint="66"/>
            <w:vAlign w:val="center"/>
            <w:hideMark/>
          </w:tcPr>
          <w:p w14:paraId="0D6E7D2D" w14:textId="77777777" w:rsidR="00BD3F7C" w:rsidRDefault="00BD3F7C">
            <w:pPr>
              <w:tabs>
                <w:tab w:val="left" w:pos="1307"/>
              </w:tabs>
              <w:jc w:val="center"/>
              <w:rPr>
                <w:b/>
                <w:bCs/>
              </w:rPr>
            </w:pPr>
            <w:r>
              <w:rPr>
                <w:b/>
                <w:bCs/>
              </w:rPr>
              <w:t>Domaines visés</w:t>
            </w:r>
          </w:p>
        </w:tc>
        <w:tc>
          <w:tcPr>
            <w:tcW w:w="2693" w:type="dxa"/>
            <w:shd w:val="clear" w:color="auto" w:fill="CCC0D9" w:themeFill="accent4" w:themeFillTint="66"/>
            <w:vAlign w:val="center"/>
            <w:hideMark/>
          </w:tcPr>
          <w:p w14:paraId="62C4F2A6" w14:textId="77777777" w:rsidR="00BD3F7C" w:rsidRDefault="00BD3F7C">
            <w:pPr>
              <w:tabs>
                <w:tab w:val="left" w:pos="1307"/>
              </w:tabs>
              <w:jc w:val="center"/>
              <w:rPr>
                <w:b/>
                <w:bCs/>
              </w:rPr>
            </w:pPr>
            <w:r>
              <w:rPr>
                <w:b/>
                <w:bCs/>
              </w:rPr>
              <w:t>Porteurs de projet éligibles</w:t>
            </w:r>
          </w:p>
        </w:tc>
        <w:tc>
          <w:tcPr>
            <w:tcW w:w="4365" w:type="dxa"/>
            <w:gridSpan w:val="2"/>
            <w:shd w:val="clear" w:color="auto" w:fill="CCC0D9" w:themeFill="accent4" w:themeFillTint="66"/>
            <w:vAlign w:val="center"/>
            <w:hideMark/>
          </w:tcPr>
          <w:p w14:paraId="389DB933" w14:textId="1E14C6E1" w:rsidR="00BD3F7C" w:rsidRDefault="00BD3F7C">
            <w:pPr>
              <w:tabs>
                <w:tab w:val="left" w:pos="1307"/>
              </w:tabs>
              <w:jc w:val="center"/>
              <w:rPr>
                <w:b/>
                <w:bCs/>
              </w:rPr>
            </w:pPr>
            <w:r>
              <w:rPr>
                <w:b/>
                <w:bCs/>
              </w:rPr>
              <w:t>Type de partenariat</w:t>
            </w:r>
            <w:r w:rsidR="00F544BE">
              <w:rPr>
                <w:b/>
                <w:bCs/>
              </w:rPr>
              <w:t>*</w:t>
            </w:r>
          </w:p>
        </w:tc>
      </w:tr>
      <w:tr w:rsidR="00BD3F7C" w14:paraId="63602C96" w14:textId="77777777" w:rsidTr="00A64727">
        <w:trPr>
          <w:trHeight w:val="669"/>
        </w:trPr>
        <w:tc>
          <w:tcPr>
            <w:tcW w:w="2694" w:type="dxa"/>
            <w:shd w:val="clear" w:color="auto" w:fill="E5DFEC" w:themeFill="accent4" w:themeFillTint="33"/>
            <w:vAlign w:val="center"/>
            <w:hideMark/>
          </w:tcPr>
          <w:p w14:paraId="67AEFA33" w14:textId="609B89BA" w:rsidR="00BD3F7C" w:rsidRDefault="00BD3F7C" w:rsidP="007A683C">
            <w:pPr>
              <w:pStyle w:val="Paragraphedeliste"/>
              <w:numPr>
                <w:ilvl w:val="0"/>
                <w:numId w:val="13"/>
              </w:numPr>
              <w:tabs>
                <w:tab w:val="left" w:pos="1307"/>
              </w:tabs>
            </w:pPr>
            <w:r>
              <w:t>Qualité de l’air</w:t>
            </w:r>
          </w:p>
          <w:p w14:paraId="49FFA11A" w14:textId="6048E62D" w:rsidR="007A683C" w:rsidRDefault="007A683C" w:rsidP="007A683C">
            <w:pPr>
              <w:pStyle w:val="Paragraphedeliste"/>
              <w:numPr>
                <w:ilvl w:val="0"/>
                <w:numId w:val="13"/>
              </w:numPr>
              <w:tabs>
                <w:tab w:val="left" w:pos="1307"/>
              </w:tabs>
            </w:pPr>
            <w:r>
              <w:t>Impacts du changement climatique sur la santé</w:t>
            </w:r>
          </w:p>
          <w:p w14:paraId="67B32CC7" w14:textId="021F0CED" w:rsidR="00A161F9" w:rsidRDefault="00A161F9" w:rsidP="007A683C">
            <w:pPr>
              <w:pStyle w:val="Paragraphedeliste"/>
              <w:numPr>
                <w:ilvl w:val="0"/>
                <w:numId w:val="13"/>
              </w:numPr>
              <w:tabs>
                <w:tab w:val="left" w:pos="1307"/>
              </w:tabs>
            </w:pPr>
            <w:r>
              <w:t>Changement climatique et biodiversité (</w:t>
            </w:r>
            <w:proofErr w:type="spellStart"/>
            <w:r>
              <w:t>OneHealth</w:t>
            </w:r>
            <w:proofErr w:type="spellEnd"/>
            <w:r>
              <w:t>)</w:t>
            </w:r>
          </w:p>
          <w:p w14:paraId="083ADEFD" w14:textId="7402A82B" w:rsidR="00BD3F7C" w:rsidRDefault="00BD3F7C" w:rsidP="00BD3F7C">
            <w:pPr>
              <w:tabs>
                <w:tab w:val="left" w:pos="1307"/>
              </w:tabs>
            </w:pPr>
          </w:p>
        </w:tc>
        <w:tc>
          <w:tcPr>
            <w:tcW w:w="2693" w:type="dxa"/>
            <w:shd w:val="clear" w:color="auto" w:fill="E5DFEC" w:themeFill="accent4" w:themeFillTint="33"/>
            <w:vAlign w:val="center"/>
            <w:hideMark/>
          </w:tcPr>
          <w:p w14:paraId="558934A0" w14:textId="2837EEA7" w:rsidR="00BD3F7C" w:rsidRDefault="00BD3F7C">
            <w:pPr>
              <w:tabs>
                <w:tab w:val="left" w:pos="1307"/>
              </w:tabs>
              <w:jc w:val="center"/>
            </w:pPr>
            <w:r w:rsidRPr="00413D68">
              <w:t>Toute organisation active dans les domaines visés : universités, organismes de formation, associations, collectivités, etc</w:t>
            </w:r>
            <w:r w:rsidR="00200FC3">
              <w:t>.</w:t>
            </w:r>
          </w:p>
        </w:tc>
        <w:tc>
          <w:tcPr>
            <w:tcW w:w="2384" w:type="dxa"/>
            <w:shd w:val="clear" w:color="auto" w:fill="E5DFEC" w:themeFill="accent4" w:themeFillTint="33"/>
            <w:vAlign w:val="center"/>
            <w:hideMark/>
          </w:tcPr>
          <w:p w14:paraId="0BB4B81E" w14:textId="79E17518" w:rsidR="00BD3F7C" w:rsidRDefault="00A64727">
            <w:pPr>
              <w:pStyle w:val="Paragraphedeliste"/>
            </w:pPr>
            <w:r>
              <w:t xml:space="preserve">Au moins </w:t>
            </w:r>
            <w:r w:rsidR="00682ABF">
              <w:t>3</w:t>
            </w:r>
            <w:r>
              <w:t xml:space="preserve"> </w:t>
            </w:r>
            <w:r w:rsidR="00482C11">
              <w:t>partenaires</w:t>
            </w:r>
          </w:p>
        </w:tc>
        <w:tc>
          <w:tcPr>
            <w:tcW w:w="1981" w:type="dxa"/>
            <w:shd w:val="clear" w:color="auto" w:fill="E5DFEC" w:themeFill="accent4" w:themeFillTint="33"/>
            <w:vAlign w:val="center"/>
            <w:hideMark/>
          </w:tcPr>
          <w:p w14:paraId="2F081025" w14:textId="211EBBB7" w:rsidR="00BD3F7C" w:rsidRDefault="00A64727">
            <w:pPr>
              <w:tabs>
                <w:tab w:val="left" w:pos="1307"/>
              </w:tabs>
              <w:jc w:val="center"/>
            </w:pPr>
            <w:r>
              <w:t xml:space="preserve">Au moins </w:t>
            </w:r>
            <w:r w:rsidR="00682ABF">
              <w:t>3</w:t>
            </w:r>
            <w:r>
              <w:t xml:space="preserve"> Etats membres représentés dans le partenariat</w:t>
            </w:r>
          </w:p>
        </w:tc>
      </w:tr>
      <w:tr w:rsidR="00BD3F7C" w14:paraId="236E4168" w14:textId="77777777" w:rsidTr="00A64727">
        <w:trPr>
          <w:trHeight w:val="628"/>
        </w:trPr>
        <w:tc>
          <w:tcPr>
            <w:tcW w:w="2694" w:type="dxa"/>
            <w:shd w:val="clear" w:color="auto" w:fill="CCC0D9" w:themeFill="accent4" w:themeFillTint="66"/>
            <w:vAlign w:val="center"/>
            <w:hideMark/>
          </w:tcPr>
          <w:p w14:paraId="7B9B6BD4" w14:textId="77777777" w:rsidR="00BD3F7C" w:rsidRDefault="00BD3F7C">
            <w:pPr>
              <w:tabs>
                <w:tab w:val="left" w:pos="1307"/>
              </w:tabs>
              <w:jc w:val="center"/>
              <w:rPr>
                <w:b/>
                <w:bCs/>
              </w:rPr>
            </w:pPr>
            <w:r>
              <w:rPr>
                <w:b/>
                <w:bCs/>
              </w:rPr>
              <w:t>Typologie de projet</w:t>
            </w:r>
          </w:p>
        </w:tc>
        <w:tc>
          <w:tcPr>
            <w:tcW w:w="2693" w:type="dxa"/>
            <w:shd w:val="clear" w:color="auto" w:fill="CCC0D9" w:themeFill="accent4" w:themeFillTint="66"/>
            <w:vAlign w:val="center"/>
            <w:hideMark/>
          </w:tcPr>
          <w:p w14:paraId="14848F17" w14:textId="77777777" w:rsidR="00BD3F7C" w:rsidRDefault="00BD3F7C">
            <w:pPr>
              <w:tabs>
                <w:tab w:val="left" w:pos="1307"/>
              </w:tabs>
              <w:jc w:val="center"/>
              <w:rPr>
                <w:b/>
                <w:bCs/>
              </w:rPr>
            </w:pPr>
            <w:r>
              <w:rPr>
                <w:b/>
                <w:bCs/>
              </w:rPr>
              <w:t>Forme de l’appui financier</w:t>
            </w:r>
          </w:p>
        </w:tc>
        <w:tc>
          <w:tcPr>
            <w:tcW w:w="2384" w:type="dxa"/>
            <w:shd w:val="clear" w:color="auto" w:fill="CCC0D9" w:themeFill="accent4" w:themeFillTint="66"/>
            <w:vAlign w:val="center"/>
            <w:hideMark/>
          </w:tcPr>
          <w:p w14:paraId="3C722E90" w14:textId="1E1E5878" w:rsidR="00BD3F7C" w:rsidRDefault="00BD3F7C">
            <w:pPr>
              <w:tabs>
                <w:tab w:val="left" w:pos="1307"/>
              </w:tabs>
              <w:jc w:val="center"/>
              <w:rPr>
                <w:b/>
                <w:bCs/>
              </w:rPr>
            </w:pPr>
            <w:r>
              <w:rPr>
                <w:b/>
                <w:bCs/>
              </w:rPr>
              <w:t>Budget moyen des projets</w:t>
            </w:r>
            <w:r w:rsidR="00F544BE">
              <w:rPr>
                <w:b/>
                <w:bCs/>
              </w:rPr>
              <w:t>*</w:t>
            </w:r>
          </w:p>
        </w:tc>
        <w:tc>
          <w:tcPr>
            <w:tcW w:w="1981" w:type="dxa"/>
            <w:shd w:val="clear" w:color="auto" w:fill="CCC0D9" w:themeFill="accent4" w:themeFillTint="66"/>
            <w:vAlign w:val="center"/>
            <w:hideMark/>
          </w:tcPr>
          <w:p w14:paraId="03710F8D" w14:textId="0D34A5F3" w:rsidR="00BD3F7C" w:rsidRDefault="00BD3F7C">
            <w:pPr>
              <w:tabs>
                <w:tab w:val="left" w:pos="1307"/>
              </w:tabs>
              <w:jc w:val="center"/>
              <w:rPr>
                <w:b/>
                <w:bCs/>
              </w:rPr>
            </w:pPr>
            <w:r>
              <w:rPr>
                <w:b/>
                <w:bCs/>
              </w:rPr>
              <w:t>Taux d’aide</w:t>
            </w:r>
            <w:r w:rsidR="00F544BE">
              <w:rPr>
                <w:b/>
                <w:bCs/>
              </w:rPr>
              <w:t>*</w:t>
            </w:r>
          </w:p>
        </w:tc>
      </w:tr>
      <w:tr w:rsidR="00BD3F7C" w14:paraId="1437D595" w14:textId="77777777" w:rsidTr="00A64727">
        <w:trPr>
          <w:trHeight w:val="645"/>
        </w:trPr>
        <w:tc>
          <w:tcPr>
            <w:tcW w:w="2694" w:type="dxa"/>
            <w:shd w:val="clear" w:color="auto" w:fill="E5DFEC" w:themeFill="accent4" w:themeFillTint="33"/>
            <w:vAlign w:val="center"/>
            <w:hideMark/>
          </w:tcPr>
          <w:p w14:paraId="57CFFA90" w14:textId="13B6F3A2" w:rsidR="00BD3F7C" w:rsidRDefault="00BD3F7C">
            <w:pPr>
              <w:tabs>
                <w:tab w:val="left" w:pos="1307"/>
              </w:tabs>
              <w:jc w:val="center"/>
            </w:pPr>
            <w:r>
              <w:t>Projet de recherche et d’innovation appliquée</w:t>
            </w:r>
            <w:r w:rsidR="00F857DD">
              <w:t>s</w:t>
            </w:r>
          </w:p>
        </w:tc>
        <w:tc>
          <w:tcPr>
            <w:tcW w:w="2693" w:type="dxa"/>
            <w:shd w:val="clear" w:color="auto" w:fill="E5DFEC" w:themeFill="accent4" w:themeFillTint="33"/>
            <w:vAlign w:val="center"/>
            <w:hideMark/>
          </w:tcPr>
          <w:p w14:paraId="60CC4099" w14:textId="77777777" w:rsidR="00BD3F7C" w:rsidRDefault="00BD3F7C">
            <w:pPr>
              <w:tabs>
                <w:tab w:val="left" w:pos="1307"/>
              </w:tabs>
              <w:jc w:val="center"/>
            </w:pPr>
            <w:r>
              <w:t>Subvention</w:t>
            </w:r>
          </w:p>
        </w:tc>
        <w:tc>
          <w:tcPr>
            <w:tcW w:w="2384" w:type="dxa"/>
            <w:shd w:val="clear" w:color="auto" w:fill="E5DFEC" w:themeFill="accent4" w:themeFillTint="33"/>
            <w:vAlign w:val="center"/>
            <w:hideMark/>
          </w:tcPr>
          <w:p w14:paraId="0EF88550" w14:textId="4F5C53DC" w:rsidR="00654BD2" w:rsidRDefault="00511B22">
            <w:pPr>
              <w:tabs>
                <w:tab w:val="left" w:pos="1307"/>
              </w:tabs>
              <w:jc w:val="center"/>
            </w:pPr>
            <w:r>
              <w:t>8-10</w:t>
            </w:r>
            <w:r w:rsidR="009B732B">
              <w:t xml:space="preserve"> millions</w:t>
            </w:r>
            <w:r w:rsidR="00654BD2">
              <w:t xml:space="preserve"> </w:t>
            </w:r>
          </w:p>
          <w:p w14:paraId="16D72911" w14:textId="7B9B46D0" w:rsidR="00BD3F7C" w:rsidRDefault="00654BD2">
            <w:pPr>
              <w:tabs>
                <w:tab w:val="left" w:pos="1307"/>
              </w:tabs>
              <w:jc w:val="center"/>
            </w:pPr>
            <w:r>
              <w:t>(2021-2022)</w:t>
            </w:r>
          </w:p>
        </w:tc>
        <w:tc>
          <w:tcPr>
            <w:tcW w:w="1981" w:type="dxa"/>
            <w:shd w:val="clear" w:color="auto" w:fill="E5DFEC" w:themeFill="accent4" w:themeFillTint="33"/>
            <w:vAlign w:val="center"/>
            <w:hideMark/>
          </w:tcPr>
          <w:p w14:paraId="574F31D6" w14:textId="1517DBEA" w:rsidR="00BD3F7C" w:rsidRDefault="00F544BE">
            <w:pPr>
              <w:tabs>
                <w:tab w:val="left" w:pos="1307"/>
              </w:tabs>
              <w:jc w:val="center"/>
            </w:pPr>
            <w:r>
              <w:t>100%</w:t>
            </w:r>
          </w:p>
        </w:tc>
      </w:tr>
      <w:tr w:rsidR="00A64727" w:rsidRPr="00200FC3" w14:paraId="3D5C67BD" w14:textId="77777777" w:rsidTr="00D34040">
        <w:trPr>
          <w:trHeight w:val="645"/>
        </w:trPr>
        <w:tc>
          <w:tcPr>
            <w:tcW w:w="2694" w:type="dxa"/>
            <w:shd w:val="clear" w:color="auto" w:fill="CCC0D9" w:themeFill="accent4" w:themeFillTint="66"/>
            <w:vAlign w:val="center"/>
            <w:hideMark/>
          </w:tcPr>
          <w:p w14:paraId="3D096BC1" w14:textId="77777777" w:rsidR="00A64727" w:rsidRDefault="00A64727">
            <w:pPr>
              <w:tabs>
                <w:tab w:val="left" w:pos="1307"/>
              </w:tabs>
              <w:jc w:val="center"/>
            </w:pPr>
            <w:r>
              <w:rPr>
                <w:b/>
                <w:bCs/>
              </w:rPr>
              <w:t>Mode de candidature</w:t>
            </w:r>
          </w:p>
        </w:tc>
        <w:tc>
          <w:tcPr>
            <w:tcW w:w="2693" w:type="dxa"/>
            <w:shd w:val="clear" w:color="auto" w:fill="CCC0D9" w:themeFill="accent4" w:themeFillTint="66"/>
            <w:vAlign w:val="center"/>
            <w:hideMark/>
          </w:tcPr>
          <w:p w14:paraId="2D778E8D" w14:textId="77777777" w:rsidR="00A64727" w:rsidRDefault="00A64727">
            <w:pPr>
              <w:tabs>
                <w:tab w:val="left" w:pos="1307"/>
              </w:tabs>
              <w:jc w:val="center"/>
            </w:pPr>
            <w:r>
              <w:rPr>
                <w:b/>
                <w:bCs/>
              </w:rPr>
              <w:t>Taux de sélection</w:t>
            </w:r>
          </w:p>
        </w:tc>
        <w:tc>
          <w:tcPr>
            <w:tcW w:w="4365" w:type="dxa"/>
            <w:gridSpan w:val="2"/>
            <w:shd w:val="clear" w:color="auto" w:fill="CCC0D9" w:themeFill="accent4" w:themeFillTint="66"/>
            <w:vAlign w:val="center"/>
            <w:hideMark/>
          </w:tcPr>
          <w:p w14:paraId="675B8724" w14:textId="3AFEFD7A" w:rsidR="00A64727" w:rsidRPr="00885C4F" w:rsidRDefault="00A64727">
            <w:pPr>
              <w:tabs>
                <w:tab w:val="left" w:pos="1307"/>
              </w:tabs>
              <w:jc w:val="center"/>
            </w:pPr>
            <w:r w:rsidRPr="00877C03">
              <w:rPr>
                <w:b/>
                <w:bCs/>
              </w:rPr>
              <w:t>Durée des projets</w:t>
            </w:r>
            <w:r w:rsidR="00F544BE" w:rsidRPr="00877C03">
              <w:rPr>
                <w:b/>
                <w:bCs/>
              </w:rPr>
              <w:t>*</w:t>
            </w:r>
          </w:p>
        </w:tc>
      </w:tr>
      <w:tr w:rsidR="00A64727" w14:paraId="69CAFC53" w14:textId="77777777" w:rsidTr="00D34040">
        <w:trPr>
          <w:trHeight w:val="645"/>
        </w:trPr>
        <w:tc>
          <w:tcPr>
            <w:tcW w:w="2694" w:type="dxa"/>
            <w:shd w:val="clear" w:color="auto" w:fill="E5DFEC" w:themeFill="accent4" w:themeFillTint="33"/>
            <w:vAlign w:val="center"/>
            <w:hideMark/>
          </w:tcPr>
          <w:p w14:paraId="1D049A93" w14:textId="7327F9A9" w:rsidR="00A64727" w:rsidRDefault="00E21BA8">
            <w:pPr>
              <w:tabs>
                <w:tab w:val="left" w:pos="1307"/>
              </w:tabs>
              <w:jc w:val="center"/>
            </w:pPr>
            <w:r>
              <w:t>1 seule étape</w:t>
            </w:r>
          </w:p>
        </w:tc>
        <w:tc>
          <w:tcPr>
            <w:tcW w:w="2693" w:type="dxa"/>
            <w:shd w:val="clear" w:color="auto" w:fill="E5DFEC" w:themeFill="accent4" w:themeFillTint="33"/>
            <w:vAlign w:val="center"/>
          </w:tcPr>
          <w:p w14:paraId="54AAB5DE" w14:textId="10CF7381" w:rsidR="00A64727" w:rsidRDefault="0069485E">
            <w:pPr>
              <w:tabs>
                <w:tab w:val="left" w:pos="1307"/>
              </w:tabs>
              <w:jc w:val="center"/>
            </w:pPr>
            <w:r>
              <w:t>Entre 7 et 15%</w:t>
            </w:r>
          </w:p>
        </w:tc>
        <w:tc>
          <w:tcPr>
            <w:tcW w:w="4365" w:type="dxa"/>
            <w:gridSpan w:val="2"/>
            <w:shd w:val="clear" w:color="auto" w:fill="E5DFEC" w:themeFill="accent4" w:themeFillTint="33"/>
            <w:vAlign w:val="center"/>
            <w:hideMark/>
          </w:tcPr>
          <w:p w14:paraId="63590969" w14:textId="1DD1CFA6" w:rsidR="00A64727" w:rsidRDefault="00F544BE">
            <w:pPr>
              <w:tabs>
                <w:tab w:val="left" w:pos="1307"/>
              </w:tabs>
              <w:jc w:val="center"/>
            </w:pPr>
            <w:r>
              <w:t>3 à 5 ans</w:t>
            </w:r>
            <w:r w:rsidR="009926BF">
              <w:t xml:space="preserve"> </w:t>
            </w:r>
          </w:p>
        </w:tc>
      </w:tr>
    </w:tbl>
    <w:p w14:paraId="77D98302" w14:textId="0746CDB8" w:rsidR="00C47BF3" w:rsidRDefault="00E21BA8" w:rsidP="007A51CE">
      <w:pPr>
        <w:pStyle w:val="EnvTitreparagraphe"/>
        <w:numPr>
          <w:ilvl w:val="0"/>
          <w:numId w:val="0"/>
        </w:numPr>
        <w:spacing w:before="0"/>
        <w:ind w:left="360" w:hanging="360"/>
        <w:rPr>
          <w:sz w:val="24"/>
          <w:szCs w:val="24"/>
        </w:rPr>
      </w:pPr>
      <w:r>
        <w:rPr>
          <w:sz w:val="24"/>
          <w:szCs w:val="24"/>
        </w:rPr>
        <w:t>*</w:t>
      </w:r>
      <w:r w:rsidRPr="00E21BA8">
        <w:rPr>
          <w:b w:val="0"/>
          <w:bCs/>
          <w:i/>
          <w:iCs/>
          <w:color w:val="auto"/>
        </w:rPr>
        <w:t>Les projets RIA sont les seuls qui s’appliquent au cluster 1 pour les thématiques visées par le SRADDET Grand Est,</w:t>
      </w:r>
      <w:r w:rsidR="00315F8A">
        <w:rPr>
          <w:b w:val="0"/>
          <w:bCs/>
          <w:i/>
          <w:iCs/>
          <w:color w:val="auto"/>
        </w:rPr>
        <w:t xml:space="preserve"> ce sont donc les informations liées à ce type de projets qui sont présentées ici</w:t>
      </w:r>
      <w:r w:rsidR="0088308B">
        <w:rPr>
          <w:b w:val="0"/>
          <w:bCs/>
          <w:i/>
          <w:iCs/>
          <w:color w:val="auto"/>
        </w:rPr>
        <w:t>. D</w:t>
      </w:r>
      <w:r w:rsidRPr="00E21BA8">
        <w:rPr>
          <w:b w:val="0"/>
          <w:bCs/>
          <w:i/>
          <w:iCs/>
          <w:color w:val="auto"/>
        </w:rPr>
        <w:t>’autres types de projets existent. Cf. l</w:t>
      </w:r>
      <w:r w:rsidR="007A51CE">
        <w:rPr>
          <w:b w:val="0"/>
          <w:bCs/>
          <w:i/>
          <w:iCs/>
          <w:color w:val="auto"/>
        </w:rPr>
        <w:t>a fiche « Horizon Europe – Présentation générale » pour plus d’information sur les</w:t>
      </w:r>
      <w:r w:rsidR="0088308B">
        <w:rPr>
          <w:b w:val="0"/>
          <w:bCs/>
          <w:i/>
          <w:iCs/>
          <w:color w:val="auto"/>
        </w:rPr>
        <w:t xml:space="preserve"> différents</w:t>
      </w:r>
      <w:r w:rsidR="007A51CE">
        <w:rPr>
          <w:b w:val="0"/>
          <w:bCs/>
          <w:i/>
          <w:iCs/>
          <w:color w:val="auto"/>
        </w:rPr>
        <w:t xml:space="preserve"> types de projets</w:t>
      </w:r>
      <w:r w:rsidR="0088308B">
        <w:rPr>
          <w:b w:val="0"/>
          <w:bCs/>
          <w:i/>
          <w:iCs/>
          <w:color w:val="auto"/>
        </w:rPr>
        <w:t>.</w:t>
      </w:r>
    </w:p>
    <w:p w14:paraId="3B1B4DF4" w14:textId="31B31613" w:rsidR="00200FC3" w:rsidRDefault="00226544" w:rsidP="00200FC3">
      <w:pPr>
        <w:tabs>
          <w:tab w:val="left" w:pos="1307"/>
        </w:tabs>
        <w:jc w:val="both"/>
        <w:rPr>
          <w:color w:val="000000"/>
        </w:rPr>
      </w:pPr>
      <w:bookmarkStart w:id="0" w:name="_Hlk73701363"/>
      <w:r>
        <w:rPr>
          <w:color w:val="000000"/>
        </w:rPr>
        <w:t>Le 25 juillet 1983, une résolution du Conseil a institué des programmes-cadres pour des activités communautaires de recherche, de développement et de démonstration, et a ainsi lancé le premier PCRD, pour la période 1984-1987. Le programme Horizon Europe</w:t>
      </w:r>
      <w:r w:rsidR="00200FC3">
        <w:rPr>
          <w:color w:val="000000"/>
        </w:rPr>
        <w:t xml:space="preserve"> (2021-2027)</w:t>
      </w:r>
      <w:r>
        <w:rPr>
          <w:color w:val="000000"/>
        </w:rPr>
        <w:t xml:space="preserve"> sera le 9</w:t>
      </w:r>
      <w:r>
        <w:rPr>
          <w:color w:val="000000"/>
          <w:vertAlign w:val="superscript"/>
        </w:rPr>
        <w:t>e</w:t>
      </w:r>
      <w:r>
        <w:rPr>
          <w:color w:val="000000"/>
        </w:rPr>
        <w:t xml:space="preserve"> renouvellement de ce programme, </w:t>
      </w:r>
      <w:r>
        <w:rPr>
          <w:color w:val="000000"/>
        </w:rPr>
        <w:lastRenderedPageBreak/>
        <w:t>après le FP7 (2007-2013)</w:t>
      </w:r>
      <w:r w:rsidR="00200FC3">
        <w:rPr>
          <w:color w:val="000000"/>
        </w:rPr>
        <w:t xml:space="preserve"> et</w:t>
      </w:r>
      <w:r>
        <w:rPr>
          <w:color w:val="000000"/>
        </w:rPr>
        <w:t xml:space="preserve"> Horizon 2020 (2014-2020). Il est géré directement par la Commission, et disposera pour la nouvelle programmation de 95.5 milliards d’euros de budget (don</w:t>
      </w:r>
      <w:r w:rsidR="00200FC3">
        <w:rPr>
          <w:color w:val="000000"/>
        </w:rPr>
        <w:t>t</w:t>
      </w:r>
      <w:r>
        <w:rPr>
          <w:color w:val="000000"/>
        </w:rPr>
        <w:t xml:space="preserve"> 5 milliards issus du Plan de relance). </w:t>
      </w:r>
    </w:p>
    <w:p w14:paraId="56564900" w14:textId="77777777" w:rsidR="00200FC3" w:rsidRDefault="00200FC3" w:rsidP="00877C03">
      <w:pPr>
        <w:tabs>
          <w:tab w:val="left" w:pos="1307"/>
        </w:tabs>
        <w:jc w:val="both"/>
      </w:pPr>
    </w:p>
    <w:p w14:paraId="0C087A98" w14:textId="387542F7" w:rsidR="00226544" w:rsidRDefault="00226544" w:rsidP="00877C03">
      <w:pP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p>
    <w:p w14:paraId="76F76DCA" w14:textId="77777777" w:rsidR="00226544" w:rsidRDefault="00226544" w:rsidP="00C47BF3">
      <w:pPr>
        <w:pBdr>
          <w:top w:val="nil"/>
          <w:left w:val="nil"/>
          <w:bottom w:val="nil"/>
          <w:right w:val="nil"/>
          <w:between w:val="nil"/>
        </w:pBdr>
        <w:jc w:val="both"/>
      </w:pPr>
    </w:p>
    <w:p w14:paraId="365A36C3" w14:textId="1E736A3B" w:rsidR="00C47BF3" w:rsidRDefault="00C47BF3" w:rsidP="00C47BF3">
      <w:pPr>
        <w:pBdr>
          <w:top w:val="nil"/>
          <w:left w:val="nil"/>
          <w:bottom w:val="nil"/>
          <w:right w:val="nil"/>
          <w:between w:val="nil"/>
        </w:pBdr>
        <w:jc w:val="both"/>
      </w:pPr>
      <w:r>
        <w:t xml:space="preserve">Le programme Horizon Europe a pour but de financer la recherche et le développement de l’innovation </w:t>
      </w:r>
      <w:r w:rsidR="0088308B">
        <w:t xml:space="preserve">de </w:t>
      </w:r>
      <w:r>
        <w:t xml:space="preserve">l’Union européenne. Contrairement à certaines idées reçues il ne vise pas uniquement </w:t>
      </w:r>
      <w:r w:rsidR="0088308B">
        <w:t>le</w:t>
      </w:r>
      <w:r>
        <w:t xml:space="preserve"> financement de la recherche fondamentale (recherche en laboratoire, qui est prise en charge par le premier pilier du programme) mais bien </w:t>
      </w:r>
      <w:r w:rsidR="0088308B">
        <w:t>l’innovation dans son ensemble, via le financement la prise de risque, de</w:t>
      </w:r>
      <w:r>
        <w:t xml:space="preserve"> test</w:t>
      </w:r>
      <w:r w:rsidR="0088308B">
        <w:t>s</w:t>
      </w:r>
      <w:r>
        <w:t xml:space="preserve">, </w:t>
      </w:r>
      <w:r w:rsidR="0088308B">
        <w:t xml:space="preserve">de </w:t>
      </w:r>
      <w:r>
        <w:t>démonstration</w:t>
      </w:r>
      <w:r w:rsidR="0088308B">
        <w:t>s, de modélisations, etc</w:t>
      </w:r>
      <w:r>
        <w:t xml:space="preserve">. Le pilier </w:t>
      </w:r>
      <w:r w:rsidR="00200FC3">
        <w:t xml:space="preserve">2 </w:t>
      </w:r>
      <w:r>
        <w:t>notamment, dans lequel se situe le cluster présenté ici</w:t>
      </w:r>
      <w:r w:rsidR="00877C03">
        <w:t>,</w:t>
      </w:r>
      <w:r>
        <w:t xml:space="preserve"> finance des projet</w:t>
      </w:r>
      <w:r w:rsidR="007A683C">
        <w:t>s</w:t>
      </w:r>
      <w:r>
        <w:t xml:space="preserve"> de </w:t>
      </w:r>
      <w:r w:rsidR="0088308B" w:rsidRPr="0088308B">
        <w:rPr>
          <w:b/>
          <w:bCs/>
        </w:rPr>
        <w:t>re</w:t>
      </w:r>
      <w:r w:rsidRPr="0088308B">
        <w:rPr>
          <w:b/>
          <w:bCs/>
        </w:rPr>
        <w:t>cherche et d’innovation appliquée</w:t>
      </w:r>
      <w:r>
        <w:t xml:space="preserve">, c’est-à-dire des projets innovants testant de nouvelles solutions, y compris sur le terrain, à des échelles plus ou moins développées. </w:t>
      </w:r>
    </w:p>
    <w:bookmarkEnd w:id="0"/>
    <w:p w14:paraId="7CCEDC81" w14:textId="77777777" w:rsidR="00382968" w:rsidRDefault="00382968" w:rsidP="00C47BF3">
      <w:pPr>
        <w:pBdr>
          <w:top w:val="nil"/>
          <w:left w:val="nil"/>
          <w:bottom w:val="nil"/>
          <w:right w:val="nil"/>
          <w:between w:val="nil"/>
        </w:pBdr>
        <w:jc w:val="both"/>
      </w:pPr>
    </w:p>
    <w:p w14:paraId="0173EA5C" w14:textId="58A1A78A" w:rsidR="00932D39" w:rsidRDefault="00932D39" w:rsidP="00932D39">
      <w:pPr>
        <w:pStyle w:val="EnvTitreparagraphe"/>
        <w:numPr>
          <w:ilvl w:val="0"/>
          <w:numId w:val="8"/>
        </w:numPr>
        <w:spacing w:before="0"/>
        <w:rPr>
          <w:sz w:val="24"/>
          <w:szCs w:val="24"/>
        </w:rPr>
      </w:pPr>
      <w:r>
        <w:rPr>
          <w:sz w:val="24"/>
          <w:szCs w:val="24"/>
        </w:rPr>
        <w:t>Domaines stratégiques pour le Grand Est touchés par le programme</w:t>
      </w:r>
    </w:p>
    <w:p w14:paraId="18D03BE0" w14:textId="41247211" w:rsidR="00466F4D" w:rsidRDefault="00466F4D" w:rsidP="00885C4F">
      <w:pPr>
        <w:pBdr>
          <w:top w:val="nil"/>
          <w:left w:val="nil"/>
          <w:bottom w:val="nil"/>
          <w:right w:val="nil"/>
          <w:between w:val="nil"/>
        </w:pBdr>
        <w:jc w:val="both"/>
      </w:pPr>
      <w:r>
        <w:t xml:space="preserve">Le cluster 1 est un cluster abordant de manière générale les questions de santé et la recherche liée, notamment, aux maladies et à leur traitement. Mais il contient également une Destination appelée « Santé tout au long de la vie » qui comprend des appels à projets en lien avec les objectifs de la Région Grand Est, et permettant notamment de financer des projets permettant de mieux comprendre, suivre et modéliser la </w:t>
      </w:r>
      <w:r w:rsidRPr="00877C03">
        <w:rPr>
          <w:b/>
          <w:bCs/>
        </w:rPr>
        <w:t>qualité de l’air</w:t>
      </w:r>
      <w:r>
        <w:t xml:space="preserve"> intérieur (et ses effets sur la santé), et </w:t>
      </w:r>
      <w:r w:rsidRPr="00877C03">
        <w:rPr>
          <w:b/>
          <w:bCs/>
        </w:rPr>
        <w:t>les impacts du changement climatique</w:t>
      </w:r>
      <w:r>
        <w:t xml:space="preserve"> (là aussi sur la santé).</w:t>
      </w:r>
    </w:p>
    <w:p w14:paraId="5B6E3C6D" w14:textId="2E2B49C6" w:rsidR="00200FC3" w:rsidRDefault="00466F4D" w:rsidP="00DD2E80">
      <w:pPr>
        <w:pBdr>
          <w:top w:val="nil"/>
          <w:left w:val="nil"/>
          <w:bottom w:val="nil"/>
          <w:right w:val="nil"/>
          <w:between w:val="nil"/>
        </w:pBdr>
        <w:jc w:val="both"/>
      </w:pPr>
      <w:r>
        <w:t>D’autres appels à venir dans les prochains programmes de travail (2023-2024 puis 2025-2027) pourraient posséder des appels intéressants également, sur ces mêmes sujets ou sur d’autres, comme le montre</w:t>
      </w:r>
      <w:r w:rsidR="00200FC3">
        <w:t>nt</w:t>
      </w:r>
      <w:r>
        <w:t xml:space="preserve"> les exemples de projets financés présentés plus loin dans cette fiche.</w:t>
      </w:r>
    </w:p>
    <w:p w14:paraId="5CF1C285" w14:textId="77777777" w:rsidR="00200FC3" w:rsidRDefault="00200FC3" w:rsidP="00200FC3">
      <w:pPr>
        <w:pStyle w:val="EnvTitreparagraphe"/>
        <w:numPr>
          <w:ilvl w:val="0"/>
          <w:numId w:val="8"/>
        </w:numPr>
        <w:rPr>
          <w:sz w:val="24"/>
          <w:szCs w:val="24"/>
        </w:rPr>
      </w:pPr>
      <w:r>
        <w:rPr>
          <w:sz w:val="24"/>
          <w:szCs w:val="24"/>
        </w:rPr>
        <w:t>Description du programme</w:t>
      </w:r>
    </w:p>
    <w:p w14:paraId="00000017" w14:textId="797ECD14" w:rsidR="00CC781C" w:rsidRDefault="000B3D25">
      <w:pPr>
        <w:pStyle w:val="Titre1"/>
        <w:ind w:firstLine="360"/>
      </w:pPr>
      <w:sdt>
        <w:sdtPr>
          <w:tag w:val="goog_rdk_5"/>
          <w:id w:val="-1889330677"/>
          <w:showingPlcHdr/>
        </w:sdtPr>
        <w:sdtEndPr/>
        <w:sdtContent>
          <w:r w:rsidR="00382968">
            <w:t xml:space="preserve">     </w:t>
          </w:r>
        </w:sdtContent>
      </w:sdt>
      <w:r w:rsidR="008F7158">
        <w:t xml:space="preserve">Présentation </w:t>
      </w:r>
      <w:r w:rsidR="009B4387">
        <w:t>du cluster</w:t>
      </w:r>
    </w:p>
    <w:p w14:paraId="7DBC96A9" w14:textId="46ECC349" w:rsidR="00BC239C" w:rsidRDefault="00BC239C" w:rsidP="00382968">
      <w:pPr>
        <w:pBdr>
          <w:top w:val="nil"/>
          <w:left w:val="nil"/>
          <w:bottom w:val="nil"/>
          <w:right w:val="nil"/>
          <w:between w:val="nil"/>
        </w:pBdr>
        <w:tabs>
          <w:tab w:val="left" w:pos="1307"/>
        </w:tabs>
        <w:jc w:val="both"/>
      </w:pPr>
    </w:p>
    <w:p w14:paraId="1041BC04" w14:textId="58B8344E" w:rsidR="002D1257" w:rsidRDefault="00A04D8E" w:rsidP="00877C03">
      <w:pPr>
        <w:pBdr>
          <w:top w:val="nil"/>
          <w:left w:val="nil"/>
          <w:bottom w:val="nil"/>
          <w:right w:val="nil"/>
          <w:between w:val="nil"/>
        </w:pBdr>
        <w:jc w:val="both"/>
      </w:pPr>
      <w:r>
        <w:t>Le cluster 1 « Santé » du pilier 2 vise à répondre à des défis complexes qui, pour l'UE, menacent la santé publique et ses citoyens, la viabilité de ses systèmes de soins de santé et de protection sociale, ainsi que la compétitivité de son industrie des soins de santé.</w:t>
      </w:r>
    </w:p>
    <w:p w14:paraId="66AD37BE" w14:textId="77777777" w:rsidR="00A04D8E" w:rsidRDefault="00A04D8E" w:rsidP="00A04D8E">
      <w:pPr>
        <w:pBdr>
          <w:top w:val="nil"/>
          <w:left w:val="nil"/>
          <w:bottom w:val="nil"/>
          <w:right w:val="nil"/>
          <w:between w:val="nil"/>
        </w:pBdr>
        <w:jc w:val="both"/>
      </w:pPr>
    </w:p>
    <w:p w14:paraId="113D36E7" w14:textId="29E15453" w:rsidR="002D1257" w:rsidRPr="009748AD" w:rsidRDefault="002D1257" w:rsidP="00877C03">
      <w:pPr>
        <w:pBdr>
          <w:top w:val="nil"/>
          <w:left w:val="nil"/>
          <w:bottom w:val="nil"/>
          <w:right w:val="nil"/>
          <w:between w:val="nil"/>
        </w:pBdr>
        <w:tabs>
          <w:tab w:val="left" w:pos="1307"/>
        </w:tabs>
        <w:jc w:val="both"/>
      </w:pPr>
      <w:r w:rsidRPr="009748AD">
        <w:t>Il est à noter que d’autres cluster d’Horizon Europe abordent également les thématiques de qualité de l’air et d’adaptation au changement climatique, notamment le Cluster 4 (lutte contre la pollution liée à l’industrie) et le Cluster 5 (Sujet directement lié à l’adaptation climatique, sans passer par l’aspect « santé », et Destinations liées à la mobilité).</w:t>
      </w:r>
    </w:p>
    <w:p w14:paraId="5C05AD8F" w14:textId="77777777" w:rsidR="002D1257" w:rsidRDefault="002D1257" w:rsidP="00A04D8E">
      <w:pPr>
        <w:pBdr>
          <w:top w:val="nil"/>
          <w:left w:val="nil"/>
          <w:bottom w:val="nil"/>
          <w:right w:val="nil"/>
          <w:between w:val="nil"/>
        </w:pBdr>
        <w:jc w:val="both"/>
      </w:pPr>
    </w:p>
    <w:p w14:paraId="1E405A61" w14:textId="753BEDCF" w:rsidR="00A04D8E" w:rsidRDefault="00A04D8E" w:rsidP="00A04D8E">
      <w:pPr>
        <w:pBdr>
          <w:top w:val="nil"/>
          <w:left w:val="nil"/>
          <w:bottom w:val="nil"/>
          <w:right w:val="nil"/>
          <w:between w:val="nil"/>
        </w:pBdr>
        <w:jc w:val="both"/>
      </w:pPr>
      <w:r>
        <w:t xml:space="preserve">Le cluster </w:t>
      </w:r>
      <w:r w:rsidR="002D1257">
        <w:t xml:space="preserve">1 </w:t>
      </w:r>
      <w:r w:rsidR="009748AD">
        <w:t>« S</w:t>
      </w:r>
      <w:r>
        <w:t>anté</w:t>
      </w:r>
      <w:r w:rsidR="009748AD">
        <w:t> »</w:t>
      </w:r>
      <w:r>
        <w:t xml:space="preserve"> s’articule </w:t>
      </w:r>
      <w:r w:rsidR="002D1257">
        <w:t xml:space="preserve">lui </w:t>
      </w:r>
      <w:r>
        <w:t>autour de 6 domaines d’intervention</w:t>
      </w:r>
      <w:r w:rsidR="0088308B">
        <w:t>, appelés « Destinations »</w:t>
      </w:r>
      <w:r>
        <w:t xml:space="preserve"> :</w:t>
      </w:r>
    </w:p>
    <w:p w14:paraId="689FEC22" w14:textId="77777777" w:rsidR="00A04D8E" w:rsidRDefault="00A04D8E" w:rsidP="00A04D8E">
      <w:pPr>
        <w:pStyle w:val="Paragraphedeliste"/>
        <w:numPr>
          <w:ilvl w:val="0"/>
          <w:numId w:val="24"/>
        </w:numPr>
        <w:pBdr>
          <w:top w:val="nil"/>
          <w:left w:val="nil"/>
          <w:bottom w:val="nil"/>
          <w:right w:val="nil"/>
          <w:between w:val="nil"/>
        </w:pBdr>
        <w:jc w:val="both"/>
      </w:pPr>
      <w:r>
        <w:t>La santé tout au long de la vie ;</w:t>
      </w:r>
    </w:p>
    <w:p w14:paraId="5A32BAC7" w14:textId="77777777" w:rsidR="00A04D8E" w:rsidRDefault="00A04D8E" w:rsidP="00A04D8E">
      <w:pPr>
        <w:pStyle w:val="Paragraphedeliste"/>
        <w:numPr>
          <w:ilvl w:val="0"/>
          <w:numId w:val="24"/>
        </w:numPr>
        <w:pBdr>
          <w:top w:val="nil"/>
          <w:left w:val="nil"/>
          <w:bottom w:val="nil"/>
          <w:right w:val="nil"/>
          <w:between w:val="nil"/>
        </w:pBdr>
        <w:jc w:val="both"/>
      </w:pPr>
      <w:r>
        <w:t>Les déterminants en matière de santé environnementale et sociale ;</w:t>
      </w:r>
    </w:p>
    <w:p w14:paraId="673449BE" w14:textId="77777777" w:rsidR="00A04D8E" w:rsidRDefault="00A04D8E" w:rsidP="00A04D8E">
      <w:pPr>
        <w:pStyle w:val="Paragraphedeliste"/>
        <w:numPr>
          <w:ilvl w:val="0"/>
          <w:numId w:val="24"/>
        </w:numPr>
        <w:pBdr>
          <w:top w:val="nil"/>
          <w:left w:val="nil"/>
          <w:bottom w:val="nil"/>
          <w:right w:val="nil"/>
          <w:between w:val="nil"/>
        </w:pBdr>
        <w:jc w:val="both"/>
      </w:pPr>
      <w:r>
        <w:t>Les maladies rares et non transmissibles ;</w:t>
      </w:r>
    </w:p>
    <w:p w14:paraId="5BFDFBFA" w14:textId="77777777" w:rsidR="00A04D8E" w:rsidRDefault="00A04D8E" w:rsidP="00A04D8E">
      <w:pPr>
        <w:pStyle w:val="Paragraphedeliste"/>
        <w:numPr>
          <w:ilvl w:val="0"/>
          <w:numId w:val="24"/>
        </w:numPr>
        <w:pBdr>
          <w:top w:val="nil"/>
          <w:left w:val="nil"/>
          <w:bottom w:val="nil"/>
          <w:right w:val="nil"/>
          <w:between w:val="nil"/>
        </w:pBdr>
        <w:jc w:val="both"/>
      </w:pPr>
      <w:r>
        <w:t>Les maladies infectieuses, y compris les maladies liées à la pauvreté et les maladies négligées ;</w:t>
      </w:r>
    </w:p>
    <w:p w14:paraId="39B88C9F" w14:textId="77777777" w:rsidR="00A04D8E" w:rsidRDefault="00A04D8E" w:rsidP="00A04D8E">
      <w:pPr>
        <w:pStyle w:val="Paragraphedeliste"/>
        <w:numPr>
          <w:ilvl w:val="0"/>
          <w:numId w:val="24"/>
        </w:numPr>
        <w:pBdr>
          <w:top w:val="nil"/>
          <w:left w:val="nil"/>
          <w:bottom w:val="nil"/>
          <w:right w:val="nil"/>
          <w:between w:val="nil"/>
        </w:pBdr>
        <w:jc w:val="both"/>
      </w:pPr>
      <w:r>
        <w:t>Les outils, technologies et solutions numériques pour la santé et les soins, y compris la médecine personnalisée ;</w:t>
      </w:r>
    </w:p>
    <w:p w14:paraId="77F791B1" w14:textId="77777777" w:rsidR="00A04D8E" w:rsidRDefault="00A04D8E" w:rsidP="00A04D8E">
      <w:pPr>
        <w:pStyle w:val="Paragraphedeliste"/>
        <w:numPr>
          <w:ilvl w:val="0"/>
          <w:numId w:val="24"/>
        </w:numPr>
        <w:pBdr>
          <w:top w:val="nil"/>
          <w:left w:val="nil"/>
          <w:bottom w:val="nil"/>
          <w:right w:val="nil"/>
          <w:between w:val="nil"/>
        </w:pBdr>
        <w:jc w:val="both"/>
      </w:pPr>
      <w:r>
        <w:t>Les systèmes de soins de santé.</w:t>
      </w:r>
    </w:p>
    <w:p w14:paraId="6F9D1CA6" w14:textId="77777777" w:rsidR="00A04D8E" w:rsidRDefault="00A04D8E" w:rsidP="00A04D8E">
      <w:pPr>
        <w:pBdr>
          <w:top w:val="nil"/>
          <w:left w:val="nil"/>
          <w:bottom w:val="nil"/>
          <w:right w:val="nil"/>
          <w:between w:val="nil"/>
        </w:pBdr>
        <w:jc w:val="both"/>
      </w:pPr>
    </w:p>
    <w:p w14:paraId="7960F520" w14:textId="757CEE78" w:rsidR="00A04D8E" w:rsidRDefault="00A04D8E" w:rsidP="00A04D8E">
      <w:pPr>
        <w:pBdr>
          <w:top w:val="nil"/>
          <w:left w:val="nil"/>
          <w:bottom w:val="nil"/>
          <w:right w:val="nil"/>
          <w:between w:val="nil"/>
        </w:pBdr>
        <w:jc w:val="both"/>
      </w:pPr>
      <w:r>
        <w:lastRenderedPageBreak/>
        <w:t xml:space="preserve">Le contenu de chacun de ces domaines est détaillé dans la présentation </w:t>
      </w:r>
      <w:r w:rsidR="00200FC3">
        <w:t>P</w:t>
      </w:r>
      <w:r>
        <w:t>ower</w:t>
      </w:r>
      <w:r w:rsidR="00200FC3">
        <w:t>P</w:t>
      </w:r>
      <w:r>
        <w:t xml:space="preserve">oint fournie par les Points de Contact Nationaux, </w:t>
      </w:r>
      <w:r w:rsidR="00877C03">
        <w:t xml:space="preserve">qui sera prochainement consultable </w:t>
      </w:r>
      <w:hyperlink r:id="rId10" w:history="1">
        <w:r w:rsidR="00877C03" w:rsidRPr="00877C03">
          <w:rPr>
            <w:rStyle w:val="Lienhypertexte"/>
          </w:rPr>
          <w:t>en ligne</w:t>
        </w:r>
      </w:hyperlink>
      <w:r>
        <w:t>.</w:t>
      </w:r>
    </w:p>
    <w:p w14:paraId="17A8D153" w14:textId="5E722648" w:rsidR="00A04D8E" w:rsidRDefault="00A04D8E" w:rsidP="0088308B"/>
    <w:p w14:paraId="5C3393A3" w14:textId="0CD5EF27" w:rsidR="0088308B" w:rsidRDefault="0088308B" w:rsidP="00877C03">
      <w:pPr>
        <w:jc w:val="both"/>
      </w:pPr>
      <w:r>
        <w:t>La Destination 1 « Santé tout en long de la vie » est celle dans lesquels s’inscrivent les appels à projets correspondant à des objectifs environnementaux.</w:t>
      </w:r>
    </w:p>
    <w:p w14:paraId="452BCBAD" w14:textId="77777777" w:rsidR="0088308B" w:rsidRDefault="0088308B" w:rsidP="0088308B"/>
    <w:p w14:paraId="75F7B32B" w14:textId="77777777" w:rsidR="00BF4E92" w:rsidRDefault="00BF4E92" w:rsidP="00BF4E92">
      <w:pPr>
        <w:pBdr>
          <w:top w:val="nil"/>
          <w:left w:val="nil"/>
          <w:bottom w:val="nil"/>
          <w:right w:val="nil"/>
          <w:between w:val="nil"/>
        </w:pBdr>
        <w:jc w:val="both"/>
      </w:pPr>
      <w:r>
        <w:t>Ce pilier est doté de 8.2 milliards d’euros de budget pour la période 2021-2017. Les programmes de travail sont publiés tous les deux ans (2021-2022, puis 2023-2024, etc.) et présentent tous les appels à projet prévus sur les deux années à venir, avec leur date et les priorités choisies.</w:t>
      </w:r>
    </w:p>
    <w:p w14:paraId="1025E1DA" w14:textId="77777777" w:rsidR="00BC239C" w:rsidRPr="00CB4FA0" w:rsidRDefault="00BC239C" w:rsidP="00503AD5">
      <w:pPr>
        <w:pBdr>
          <w:top w:val="nil"/>
          <w:left w:val="nil"/>
          <w:bottom w:val="nil"/>
          <w:right w:val="nil"/>
          <w:between w:val="nil"/>
        </w:pBdr>
        <w:tabs>
          <w:tab w:val="left" w:pos="1307"/>
        </w:tabs>
        <w:jc w:val="both"/>
      </w:pPr>
    </w:p>
    <w:p w14:paraId="7F58F35F" w14:textId="145DB5EE" w:rsidR="007051C1" w:rsidRDefault="007051C1" w:rsidP="00F838CD">
      <w:pPr>
        <w:jc w:val="both"/>
      </w:pPr>
      <w:r>
        <w:rPr>
          <w:b/>
          <w:bCs/>
          <w:noProof/>
        </w:rPr>
        <w:drawing>
          <wp:inline distT="0" distB="0" distL="0" distR="0" wp14:anchorId="6A1929B9" wp14:editId="7FC623EC">
            <wp:extent cx="6210935" cy="417449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1">
                      <a:extLst>
                        <a:ext uri="{28A0092B-C50C-407E-A947-70E740481C1C}">
                          <a14:useLocalDpi xmlns:a14="http://schemas.microsoft.com/office/drawing/2010/main" val="0"/>
                        </a:ext>
                      </a:extLst>
                    </a:blip>
                    <a:stretch>
                      <a:fillRect/>
                    </a:stretch>
                  </pic:blipFill>
                  <pic:spPr>
                    <a:xfrm>
                      <a:off x="0" y="0"/>
                      <a:ext cx="6210935" cy="4174490"/>
                    </a:xfrm>
                    <a:prstGeom prst="rect">
                      <a:avLst/>
                    </a:prstGeom>
                  </pic:spPr>
                </pic:pic>
              </a:graphicData>
            </a:graphic>
          </wp:inline>
        </w:drawing>
      </w:r>
    </w:p>
    <w:p w14:paraId="50AED0E4" w14:textId="4BAA1204" w:rsidR="00211C1C" w:rsidRPr="00C8309E" w:rsidRDefault="00211C1C" w:rsidP="00211C1C">
      <w:pPr>
        <w:jc w:val="both"/>
        <w:rPr>
          <w:i/>
          <w:iCs/>
          <w:sz w:val="20"/>
          <w:szCs w:val="20"/>
        </w:rPr>
      </w:pPr>
      <w:r w:rsidRPr="00C8309E">
        <w:rPr>
          <w:i/>
          <w:iCs/>
          <w:sz w:val="20"/>
          <w:szCs w:val="20"/>
        </w:rPr>
        <w:t xml:space="preserve">Source : </w:t>
      </w:r>
      <w:hyperlink r:id="rId12" w:history="1">
        <w:r w:rsidR="00885C4F" w:rsidRPr="00100E92">
          <w:rPr>
            <w:rStyle w:val="Lienhypertexte"/>
            <w:i/>
            <w:iCs/>
            <w:sz w:val="20"/>
            <w:szCs w:val="20"/>
          </w:rPr>
          <w:t>https://www.horizon-europe.gouv.fr/sites/default/files/2021-02/horizon-europe---pr-sentation-2551.pdf</w:t>
        </w:r>
      </w:hyperlink>
      <w:r w:rsidR="00885C4F">
        <w:rPr>
          <w:i/>
          <w:iCs/>
          <w:sz w:val="20"/>
          <w:szCs w:val="20"/>
        </w:rPr>
        <w:t xml:space="preserve"> </w:t>
      </w:r>
    </w:p>
    <w:p w14:paraId="26AFCD03" w14:textId="5D908874" w:rsidR="007051C1" w:rsidRDefault="007051C1" w:rsidP="00F838CD">
      <w:pPr>
        <w:jc w:val="both"/>
      </w:pPr>
    </w:p>
    <w:p w14:paraId="0CCFAAE0" w14:textId="15DB19F6" w:rsidR="00211C1C" w:rsidRDefault="00211C1C" w:rsidP="00F838CD">
      <w:pPr>
        <w:jc w:val="both"/>
      </w:pPr>
    </w:p>
    <w:p w14:paraId="3344273E" w14:textId="39EC25CC" w:rsidR="0067672C" w:rsidRDefault="008F7158" w:rsidP="00F838CD">
      <w:pPr>
        <w:jc w:val="both"/>
      </w:pPr>
      <w:r w:rsidRPr="007A683C">
        <w:rPr>
          <w:b/>
          <w:bCs/>
        </w:rPr>
        <w:t>Grandes modifications connues par rapport à 2014-2020</w:t>
      </w:r>
      <w:r w:rsidR="00F838CD">
        <w:t xml:space="preserve"> : </w:t>
      </w:r>
    </w:p>
    <w:p w14:paraId="777A6126" w14:textId="4D761869" w:rsidR="0067672C" w:rsidRDefault="0067672C" w:rsidP="0067672C">
      <w:pPr>
        <w:pStyle w:val="Paragraphedeliste"/>
        <w:numPr>
          <w:ilvl w:val="0"/>
          <w:numId w:val="10"/>
        </w:numPr>
        <w:jc w:val="both"/>
      </w:pPr>
      <w:r>
        <w:t>D</w:t>
      </w:r>
      <w:r w:rsidR="00F838CD">
        <w:t xml:space="preserve">ans les grandes lignes le programme conserve sa structure. </w:t>
      </w:r>
    </w:p>
    <w:p w14:paraId="46935E78" w14:textId="4400D82D" w:rsidR="00037BCA" w:rsidRDefault="00037BCA" w:rsidP="0067672C">
      <w:pPr>
        <w:pStyle w:val="Paragraphedeliste"/>
        <w:numPr>
          <w:ilvl w:val="0"/>
          <w:numId w:val="10"/>
        </w:numPr>
        <w:jc w:val="both"/>
      </w:pPr>
      <w:r>
        <w:t xml:space="preserve">Augmentation du budget </w:t>
      </w:r>
      <w:r w:rsidR="00CE1055">
        <w:t xml:space="preserve">global pour le porter à </w:t>
      </w:r>
      <w:r w:rsidR="00CE1055" w:rsidRPr="00CE1055">
        <w:t>95,5 milliards</w:t>
      </w:r>
    </w:p>
    <w:p w14:paraId="03EC8307" w14:textId="066CAD8B" w:rsidR="009407B7" w:rsidRPr="009407B7" w:rsidRDefault="00F838CD" w:rsidP="009407B7">
      <w:pPr>
        <w:pStyle w:val="Paragraphedeliste"/>
        <w:numPr>
          <w:ilvl w:val="0"/>
          <w:numId w:val="10"/>
        </w:numPr>
        <w:jc w:val="both"/>
        <w:rPr>
          <w:color w:val="000000"/>
        </w:rPr>
      </w:pPr>
      <w:r>
        <w:t>Pour 2021-2027 le programme est également composé de 5 missions thématiques</w:t>
      </w:r>
      <w:r w:rsidR="009407B7">
        <w:t xml:space="preserve"> (Adaptation au changement climatique ; Santé des océans, des mers et des eaux côtières ; Cancer ; Villes intelligentes et neutres en carbone ; Santé des sols et alimentation)</w:t>
      </w:r>
      <w:r>
        <w:t xml:space="preserve"> et de 49 partenariats de recherche thématiques (cofinancés avec des agences de recherche).</w:t>
      </w:r>
      <w:r w:rsidR="001E124C">
        <w:t xml:space="preserve"> </w:t>
      </w:r>
    </w:p>
    <w:p w14:paraId="3D0414B3" w14:textId="6D392187" w:rsidR="00BD3F7C" w:rsidRPr="0067672C" w:rsidRDefault="00BD3F7C" w:rsidP="0067672C">
      <w:pPr>
        <w:pStyle w:val="Paragraphedeliste"/>
        <w:numPr>
          <w:ilvl w:val="0"/>
          <w:numId w:val="10"/>
        </w:numPr>
        <w:jc w:val="both"/>
        <w:rPr>
          <w:color w:val="000000"/>
        </w:rPr>
      </w:pPr>
      <w:r w:rsidRPr="00037BCA">
        <w:rPr>
          <w:b/>
          <w:bCs/>
          <w:color w:val="000000"/>
        </w:rPr>
        <w:t>Cluster 1</w:t>
      </w:r>
      <w:r>
        <w:rPr>
          <w:color w:val="000000"/>
        </w:rPr>
        <w:t xml:space="preserve"> : </w:t>
      </w:r>
      <w:r w:rsidRPr="00D6018D">
        <w:rPr>
          <w:b/>
          <w:bCs/>
          <w:color w:val="000000"/>
        </w:rPr>
        <w:t xml:space="preserve">90 millions </w:t>
      </w:r>
      <w:r w:rsidR="007A683C" w:rsidRPr="00D6018D">
        <w:rPr>
          <w:b/>
          <w:bCs/>
          <w:color w:val="000000"/>
        </w:rPr>
        <w:t xml:space="preserve">de budget pour </w:t>
      </w:r>
      <w:r w:rsidRPr="00D6018D">
        <w:rPr>
          <w:b/>
          <w:bCs/>
          <w:color w:val="000000"/>
        </w:rPr>
        <w:t>2021</w:t>
      </w:r>
      <w:r>
        <w:rPr>
          <w:color w:val="000000"/>
        </w:rPr>
        <w:t>, mais</w:t>
      </w:r>
      <w:r w:rsidR="007A683C">
        <w:rPr>
          <w:color w:val="000000"/>
        </w:rPr>
        <w:t xml:space="preserve"> </w:t>
      </w:r>
      <w:proofErr w:type="gramStart"/>
      <w:r w:rsidR="007A683C">
        <w:rPr>
          <w:color w:val="000000"/>
        </w:rPr>
        <w:t>suite à</w:t>
      </w:r>
      <w:proofErr w:type="gramEnd"/>
      <w:r w:rsidR="007A683C">
        <w:rPr>
          <w:color w:val="000000"/>
        </w:rPr>
        <w:t xml:space="preserve"> la crise sanitaire liée au Covid-19 le premier programme de travail (pour 2021-2022) est axé </w:t>
      </w:r>
      <w:r w:rsidR="00037BCA">
        <w:rPr>
          <w:color w:val="000000"/>
        </w:rPr>
        <w:t>principalement s</w:t>
      </w:r>
      <w:r w:rsidR="007A683C">
        <w:rPr>
          <w:color w:val="000000"/>
        </w:rPr>
        <w:t>ur la lutte contre les pandémies et pour la résilience de l’UE.</w:t>
      </w:r>
      <w:r w:rsidR="00037BCA">
        <w:rPr>
          <w:color w:val="000000"/>
        </w:rPr>
        <w:t xml:space="preserve"> Le programme devrait retrouver des priorités plus classiques à partir de 2023.</w:t>
      </w:r>
      <w:r w:rsidR="00330D04">
        <w:rPr>
          <w:color w:val="000000"/>
        </w:rPr>
        <w:t xml:space="preserve"> Des appels plus traditionnels sont cependant maintenus, cf. ci-dessous.</w:t>
      </w:r>
    </w:p>
    <w:p w14:paraId="0000001C" w14:textId="77777777" w:rsidR="00CC781C" w:rsidRDefault="008F7158">
      <w:pPr>
        <w:pStyle w:val="Titre1"/>
        <w:ind w:firstLine="360"/>
      </w:pPr>
      <w:r>
        <w:t>Types de projets éligibles</w:t>
      </w:r>
    </w:p>
    <w:p w14:paraId="54B3AE59" w14:textId="77777777" w:rsidR="00885C4F" w:rsidRDefault="00885C4F">
      <w:pPr>
        <w:tabs>
          <w:tab w:val="left" w:pos="1307"/>
        </w:tabs>
        <w:jc w:val="both"/>
      </w:pPr>
    </w:p>
    <w:p w14:paraId="29CF3DE0" w14:textId="45DF483C" w:rsidR="007D7F68" w:rsidRPr="007D7F68" w:rsidRDefault="00DD7154" w:rsidP="00877C03">
      <w:pPr>
        <w:pStyle w:val="Paragraphedeliste"/>
        <w:numPr>
          <w:ilvl w:val="0"/>
          <w:numId w:val="21"/>
        </w:numPr>
        <w:pBdr>
          <w:top w:val="nil"/>
          <w:left w:val="nil"/>
          <w:bottom w:val="nil"/>
          <w:right w:val="nil"/>
          <w:between w:val="nil"/>
        </w:pBdr>
        <w:tabs>
          <w:tab w:val="left" w:pos="1307"/>
        </w:tabs>
        <w:jc w:val="both"/>
      </w:pPr>
      <w:bookmarkStart w:id="1" w:name="_Hlk73972733"/>
      <w:r w:rsidRPr="00877C03">
        <w:rPr>
          <w:color w:val="000000"/>
        </w:rPr>
        <w:lastRenderedPageBreak/>
        <w:t xml:space="preserve">Le programme </w:t>
      </w:r>
      <w:r w:rsidR="001B0D68" w:rsidRPr="00877C03">
        <w:rPr>
          <w:color w:val="000000"/>
        </w:rPr>
        <w:t xml:space="preserve">Horizon Europe </w:t>
      </w:r>
      <w:r w:rsidRPr="00877C03">
        <w:rPr>
          <w:color w:val="000000"/>
        </w:rPr>
        <w:t xml:space="preserve">finance </w:t>
      </w:r>
      <w:r w:rsidR="007D7F68" w:rsidRPr="00877C03">
        <w:rPr>
          <w:color w:val="000000"/>
        </w:rPr>
        <w:t>différents types de projet, appelés « Actions »</w:t>
      </w:r>
      <w:r w:rsidR="001B0D68" w:rsidRPr="00877C03">
        <w:rPr>
          <w:color w:val="000000"/>
        </w:rPr>
        <w:t xml:space="preserve">. </w:t>
      </w:r>
      <w:r w:rsidR="001B0D68" w:rsidRPr="00877C03">
        <w:rPr>
          <w:b/>
          <w:bCs/>
          <w:color w:val="000000"/>
        </w:rPr>
        <w:t>Chaque appel à projet</w:t>
      </w:r>
      <w:r w:rsidR="00885C4F">
        <w:rPr>
          <w:b/>
          <w:bCs/>
          <w:color w:val="000000"/>
        </w:rPr>
        <w:t>s</w:t>
      </w:r>
      <w:r w:rsidR="001B0D68" w:rsidRPr="00877C03">
        <w:rPr>
          <w:b/>
          <w:bCs/>
          <w:color w:val="000000"/>
        </w:rPr>
        <w:t xml:space="preserve"> spécifie dans quelle catégorie doivent se trouver les projets sélectionnés</w:t>
      </w:r>
      <w:r w:rsidR="001B0D68" w:rsidRPr="00877C03">
        <w:rPr>
          <w:color w:val="000000"/>
        </w:rPr>
        <w:t>. Les types de projets existants sont les suivants</w:t>
      </w:r>
      <w:r w:rsidR="0061196A">
        <w:rPr>
          <w:color w:val="000000"/>
        </w:rPr>
        <w:t> :</w:t>
      </w:r>
    </w:p>
    <w:p w14:paraId="13C838D8" w14:textId="77777777" w:rsidR="007D7F68" w:rsidRPr="007B2B31" w:rsidRDefault="007D7F68" w:rsidP="001B0D68">
      <w:pPr>
        <w:pStyle w:val="Paragraphedeliste"/>
        <w:numPr>
          <w:ilvl w:val="0"/>
          <w:numId w:val="10"/>
        </w:numPr>
        <w:pBdr>
          <w:between w:val="nil"/>
        </w:pBdr>
        <w:tabs>
          <w:tab w:val="left" w:pos="1307"/>
        </w:tabs>
        <w:jc w:val="both"/>
      </w:pPr>
      <w:r w:rsidRPr="007B2B31">
        <w:t xml:space="preserve">Actions de recherche et d'innovation (RIA- </w:t>
      </w:r>
      <w:proofErr w:type="spellStart"/>
      <w:r w:rsidRPr="007B2B31">
        <w:t>Research</w:t>
      </w:r>
      <w:proofErr w:type="spellEnd"/>
      <w:r w:rsidRPr="007B2B31">
        <w:t xml:space="preserve"> Innovation Action)</w:t>
      </w:r>
    </w:p>
    <w:p w14:paraId="09831B2A" w14:textId="77777777" w:rsidR="007D7F68" w:rsidRPr="007B2B31" w:rsidRDefault="007D7F68" w:rsidP="001B0D68">
      <w:pPr>
        <w:pStyle w:val="Paragraphedeliste"/>
        <w:numPr>
          <w:ilvl w:val="0"/>
          <w:numId w:val="10"/>
        </w:numPr>
        <w:pBdr>
          <w:between w:val="nil"/>
        </w:pBdr>
        <w:tabs>
          <w:tab w:val="left" w:pos="1307"/>
        </w:tabs>
        <w:jc w:val="both"/>
      </w:pPr>
      <w:r w:rsidRPr="007B2B31">
        <w:t>Actions d'innovation (IA - Innovation Action)</w:t>
      </w:r>
    </w:p>
    <w:p w14:paraId="421DB8F3" w14:textId="2110F527" w:rsidR="007D7F68" w:rsidRDefault="007D7F68" w:rsidP="001B0D68">
      <w:pPr>
        <w:pStyle w:val="Paragraphedeliste"/>
        <w:numPr>
          <w:ilvl w:val="0"/>
          <w:numId w:val="10"/>
        </w:numPr>
        <w:pBdr>
          <w:between w:val="nil"/>
        </w:pBdr>
        <w:tabs>
          <w:tab w:val="left" w:pos="1307"/>
        </w:tabs>
        <w:jc w:val="both"/>
      </w:pPr>
      <w:r w:rsidRPr="007B2B31">
        <w:t>Actions de soutien et de coordination (CSA - Coordination Support Action)</w:t>
      </w:r>
    </w:p>
    <w:p w14:paraId="22999BC8" w14:textId="4AE9C294" w:rsidR="001B0D68" w:rsidRDefault="001B0D68" w:rsidP="001B0D68">
      <w:pPr>
        <w:pStyle w:val="Paragraphedeliste"/>
        <w:numPr>
          <w:ilvl w:val="0"/>
          <w:numId w:val="10"/>
        </w:numPr>
        <w:pBdr>
          <w:between w:val="nil"/>
        </w:pBdr>
        <w:tabs>
          <w:tab w:val="left" w:pos="1307"/>
        </w:tabs>
        <w:jc w:val="both"/>
      </w:pPr>
      <w:proofErr w:type="spellStart"/>
      <w:r>
        <w:t>Cofund</w:t>
      </w:r>
      <w:proofErr w:type="spellEnd"/>
      <w:r>
        <w:t xml:space="preserve"> actions</w:t>
      </w:r>
    </w:p>
    <w:p w14:paraId="7A132119" w14:textId="77777777" w:rsidR="001B0D68" w:rsidRDefault="001B0D68" w:rsidP="00C13E80">
      <w:pPr>
        <w:pBdr>
          <w:top w:val="nil"/>
          <w:left w:val="nil"/>
          <w:bottom w:val="nil"/>
          <w:right w:val="nil"/>
          <w:between w:val="nil"/>
        </w:pBdr>
        <w:tabs>
          <w:tab w:val="left" w:pos="1307"/>
        </w:tabs>
        <w:jc w:val="both"/>
      </w:pPr>
    </w:p>
    <w:p w14:paraId="23712F12" w14:textId="1BA12B76" w:rsidR="00C13E80" w:rsidRPr="00877C03" w:rsidRDefault="00C13E80" w:rsidP="00C13E80">
      <w:pPr>
        <w:pBdr>
          <w:top w:val="nil"/>
          <w:left w:val="nil"/>
          <w:bottom w:val="nil"/>
          <w:right w:val="nil"/>
          <w:between w:val="nil"/>
        </w:pBdr>
        <w:tabs>
          <w:tab w:val="left" w:pos="1307"/>
        </w:tabs>
        <w:jc w:val="both"/>
        <w:rPr>
          <w:sz w:val="21"/>
          <w:szCs w:val="21"/>
        </w:rPr>
      </w:pPr>
      <w:r w:rsidRPr="00877C03">
        <w:rPr>
          <w:i/>
          <w:iCs/>
          <w:sz w:val="21"/>
          <w:szCs w:val="21"/>
        </w:rPr>
        <w:t xml:space="preserve">Pour plus d’information sur les différents types de projets, cliquez </w:t>
      </w:r>
      <w:hyperlink r:id="rId13" w:anchor="action-recherche-innovation" w:history="1">
        <w:r w:rsidRPr="00877C03">
          <w:rPr>
            <w:rStyle w:val="Lienhypertexte"/>
            <w:i/>
            <w:iCs/>
            <w:sz w:val="21"/>
            <w:szCs w:val="21"/>
          </w:rPr>
          <w:t>ici</w:t>
        </w:r>
      </w:hyperlink>
      <w:r w:rsidRPr="00877C03">
        <w:rPr>
          <w:i/>
          <w:iCs/>
          <w:sz w:val="21"/>
          <w:szCs w:val="21"/>
        </w:rPr>
        <w:t xml:space="preserve">  </w:t>
      </w:r>
      <w:r w:rsidR="00D6018D" w:rsidRPr="00877C03">
        <w:rPr>
          <w:i/>
          <w:iCs/>
          <w:sz w:val="21"/>
          <w:szCs w:val="21"/>
        </w:rPr>
        <w:t>ou bien consultez la fiche « Horizon Europe – Présentation générale »</w:t>
      </w:r>
      <w:r w:rsidR="00885C4F">
        <w:rPr>
          <w:i/>
          <w:iCs/>
          <w:sz w:val="21"/>
          <w:szCs w:val="21"/>
        </w:rPr>
        <w:t>.</w:t>
      </w:r>
    </w:p>
    <w:p w14:paraId="71F4D6A0" w14:textId="77777777" w:rsidR="001B0D68" w:rsidRDefault="001B0D68" w:rsidP="00754CB4">
      <w:pPr>
        <w:pBdr>
          <w:top w:val="nil"/>
          <w:left w:val="nil"/>
          <w:bottom w:val="nil"/>
          <w:right w:val="nil"/>
          <w:between w:val="nil"/>
        </w:pBdr>
        <w:tabs>
          <w:tab w:val="left" w:pos="1307"/>
        </w:tabs>
        <w:jc w:val="both"/>
      </w:pPr>
    </w:p>
    <w:p w14:paraId="231A85A9" w14:textId="204EE51A" w:rsidR="005B3BAF" w:rsidRPr="00E7402D" w:rsidRDefault="005B3BAF" w:rsidP="00E7402D">
      <w:pPr>
        <w:pStyle w:val="Paragraphedeliste"/>
        <w:numPr>
          <w:ilvl w:val="0"/>
          <w:numId w:val="21"/>
        </w:numPr>
        <w:pBdr>
          <w:top w:val="nil"/>
          <w:left w:val="nil"/>
          <w:bottom w:val="nil"/>
          <w:right w:val="nil"/>
          <w:between w:val="nil"/>
        </w:pBdr>
        <w:tabs>
          <w:tab w:val="left" w:pos="1307"/>
        </w:tabs>
        <w:jc w:val="both"/>
        <w:rPr>
          <w:b/>
          <w:bCs/>
        </w:rPr>
      </w:pPr>
      <w:r w:rsidRPr="00E7402D">
        <w:rPr>
          <w:b/>
          <w:bCs/>
        </w:rPr>
        <w:t xml:space="preserve">Appels du cluster 1 en lien avec les </w:t>
      </w:r>
      <w:r w:rsidR="00235298">
        <w:rPr>
          <w:b/>
          <w:bCs/>
        </w:rPr>
        <w:t xml:space="preserve">objectifs environnementaux </w:t>
      </w:r>
      <w:r w:rsidR="000D799A">
        <w:rPr>
          <w:b/>
          <w:bCs/>
        </w:rPr>
        <w:t>du territoire du</w:t>
      </w:r>
      <w:r w:rsidR="00235298">
        <w:rPr>
          <w:b/>
          <w:bCs/>
        </w:rPr>
        <w:t xml:space="preserve"> Grand Est</w:t>
      </w:r>
      <w:r w:rsidRPr="00E7402D">
        <w:rPr>
          <w:b/>
          <w:bCs/>
        </w:rPr>
        <w:t xml:space="preserve"> : </w:t>
      </w:r>
    </w:p>
    <w:bookmarkEnd w:id="1"/>
    <w:p w14:paraId="7DB1C2FD" w14:textId="77777777" w:rsidR="005B3BAF" w:rsidRDefault="005B3BAF" w:rsidP="00754CB4">
      <w:pPr>
        <w:pBdr>
          <w:top w:val="nil"/>
          <w:left w:val="nil"/>
          <w:bottom w:val="nil"/>
          <w:right w:val="nil"/>
          <w:between w:val="nil"/>
        </w:pBdr>
        <w:tabs>
          <w:tab w:val="left" w:pos="1307"/>
        </w:tabs>
        <w:jc w:val="both"/>
      </w:pPr>
    </w:p>
    <w:p w14:paraId="05E5400A" w14:textId="32E8FA8E" w:rsidR="008926DD" w:rsidRDefault="00754CB4" w:rsidP="00754CB4">
      <w:pPr>
        <w:pBdr>
          <w:top w:val="nil"/>
          <w:left w:val="nil"/>
          <w:bottom w:val="nil"/>
          <w:right w:val="nil"/>
          <w:between w:val="nil"/>
        </w:pBdr>
        <w:tabs>
          <w:tab w:val="left" w:pos="1307"/>
        </w:tabs>
        <w:jc w:val="both"/>
      </w:pPr>
      <w:r>
        <w:t xml:space="preserve">Pour la période 2021-2022, seuls deux appels sont prévus sur des thématiques environnementales prioritaires pour la Région Grand Est : </w:t>
      </w:r>
    </w:p>
    <w:p w14:paraId="2EE0DA66" w14:textId="5AF0D186" w:rsidR="00885C4F" w:rsidRDefault="00885C4F" w:rsidP="00885C4F">
      <w:pPr>
        <w:pBdr>
          <w:top w:val="nil"/>
          <w:left w:val="nil"/>
          <w:bottom w:val="nil"/>
          <w:right w:val="nil"/>
          <w:between w:val="nil"/>
        </w:pBdr>
        <w:tabs>
          <w:tab w:val="left" w:pos="1307"/>
        </w:tabs>
        <w:jc w:val="both"/>
      </w:pPr>
    </w:p>
    <w:tbl>
      <w:tblPr>
        <w:tblStyle w:val="TableauGrille4-Accentuation4"/>
        <w:tblW w:w="0" w:type="auto"/>
        <w:tblInd w:w="-5" w:type="dxa"/>
        <w:tblLook w:val="04A0" w:firstRow="1" w:lastRow="0" w:firstColumn="1" w:lastColumn="0" w:noHBand="0" w:noVBand="1"/>
      </w:tblPr>
      <w:tblGrid>
        <w:gridCol w:w="1985"/>
        <w:gridCol w:w="2513"/>
        <w:gridCol w:w="925"/>
        <w:gridCol w:w="968"/>
        <w:gridCol w:w="1406"/>
        <w:gridCol w:w="1979"/>
      </w:tblGrid>
      <w:tr w:rsidR="00885C4F" w14:paraId="779BD04E" w14:textId="77777777" w:rsidTr="00877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6644528E" w14:textId="27C5FC23" w:rsidR="00885C4F" w:rsidRPr="00877C03" w:rsidRDefault="00885C4F" w:rsidP="00877C03">
            <w:pPr>
              <w:tabs>
                <w:tab w:val="left" w:pos="1307"/>
              </w:tabs>
              <w:rPr>
                <w:sz w:val="21"/>
                <w:szCs w:val="21"/>
              </w:rPr>
            </w:pPr>
            <w:r w:rsidRPr="00877C03">
              <w:rPr>
                <w:sz w:val="21"/>
                <w:szCs w:val="21"/>
              </w:rPr>
              <w:t>Référence de l’appel</w:t>
            </w:r>
          </w:p>
        </w:tc>
        <w:tc>
          <w:tcPr>
            <w:tcW w:w="2513" w:type="dxa"/>
          </w:tcPr>
          <w:p w14:paraId="66200AF8" w14:textId="0FAE1324" w:rsidR="00885C4F" w:rsidRPr="00877C03" w:rsidRDefault="00885C4F" w:rsidP="00877C03">
            <w:pPr>
              <w:tabs>
                <w:tab w:val="left" w:pos="1307"/>
              </w:tabs>
              <w:cnfStyle w:val="100000000000" w:firstRow="1" w:lastRow="0" w:firstColumn="0" w:lastColumn="0" w:oddVBand="0" w:evenVBand="0" w:oddHBand="0" w:evenHBand="0" w:firstRowFirstColumn="0" w:firstRowLastColumn="0" w:lastRowFirstColumn="0" w:lastRowLastColumn="0"/>
              <w:rPr>
                <w:sz w:val="21"/>
                <w:szCs w:val="21"/>
              </w:rPr>
            </w:pPr>
            <w:r w:rsidRPr="00877C03">
              <w:rPr>
                <w:sz w:val="21"/>
                <w:szCs w:val="21"/>
              </w:rPr>
              <w:t>Intitulé</w:t>
            </w:r>
          </w:p>
        </w:tc>
        <w:tc>
          <w:tcPr>
            <w:tcW w:w="925" w:type="dxa"/>
          </w:tcPr>
          <w:p w14:paraId="7651AFD2" w14:textId="03C40C4E" w:rsidR="00885C4F" w:rsidRPr="00877C03" w:rsidRDefault="00885C4F" w:rsidP="00877C03">
            <w:pPr>
              <w:tabs>
                <w:tab w:val="left" w:pos="1307"/>
              </w:tabs>
              <w:cnfStyle w:val="100000000000" w:firstRow="1" w:lastRow="0" w:firstColumn="0" w:lastColumn="0" w:oddVBand="0" w:evenVBand="0" w:oddHBand="0" w:evenHBand="0" w:firstRowFirstColumn="0" w:firstRowLastColumn="0" w:lastRowFirstColumn="0" w:lastRowLastColumn="0"/>
              <w:rPr>
                <w:sz w:val="21"/>
                <w:szCs w:val="21"/>
              </w:rPr>
            </w:pPr>
            <w:r w:rsidRPr="00877C03">
              <w:rPr>
                <w:sz w:val="21"/>
                <w:szCs w:val="21"/>
              </w:rPr>
              <w:t>Type d’action</w:t>
            </w:r>
          </w:p>
        </w:tc>
        <w:tc>
          <w:tcPr>
            <w:tcW w:w="0" w:type="dxa"/>
          </w:tcPr>
          <w:p w14:paraId="36D3026D" w14:textId="11EAAF4B" w:rsidR="00885C4F" w:rsidRPr="00877C03" w:rsidRDefault="00885C4F" w:rsidP="00877C03">
            <w:pPr>
              <w:tabs>
                <w:tab w:val="left" w:pos="1307"/>
              </w:tabs>
              <w:cnfStyle w:val="100000000000" w:firstRow="1" w:lastRow="0" w:firstColumn="0" w:lastColumn="0" w:oddVBand="0" w:evenVBand="0" w:oddHBand="0" w:evenHBand="0" w:firstRowFirstColumn="0" w:firstRowLastColumn="0" w:lastRowFirstColumn="0" w:lastRowLastColumn="0"/>
              <w:rPr>
                <w:sz w:val="21"/>
                <w:szCs w:val="21"/>
              </w:rPr>
            </w:pPr>
            <w:r w:rsidRPr="00877C03">
              <w:rPr>
                <w:sz w:val="21"/>
                <w:szCs w:val="21"/>
              </w:rPr>
              <w:t>Nombre d’étapes</w:t>
            </w:r>
          </w:p>
        </w:tc>
        <w:tc>
          <w:tcPr>
            <w:tcW w:w="1406" w:type="dxa"/>
          </w:tcPr>
          <w:p w14:paraId="5810E23E" w14:textId="74130A28" w:rsidR="00885C4F" w:rsidRPr="00877C03" w:rsidRDefault="00885C4F" w:rsidP="00877C03">
            <w:pPr>
              <w:tabs>
                <w:tab w:val="left" w:pos="1307"/>
              </w:tabs>
              <w:cnfStyle w:val="100000000000" w:firstRow="1" w:lastRow="0" w:firstColumn="0" w:lastColumn="0" w:oddVBand="0" w:evenVBand="0" w:oddHBand="0" w:evenHBand="0" w:firstRowFirstColumn="0" w:firstRowLastColumn="0" w:lastRowFirstColumn="0" w:lastRowLastColumn="0"/>
              <w:rPr>
                <w:sz w:val="21"/>
                <w:szCs w:val="21"/>
              </w:rPr>
            </w:pPr>
            <w:r w:rsidRPr="00877C03">
              <w:rPr>
                <w:sz w:val="21"/>
                <w:szCs w:val="21"/>
              </w:rPr>
              <w:t>Publication</w:t>
            </w:r>
          </w:p>
        </w:tc>
        <w:tc>
          <w:tcPr>
            <w:tcW w:w="1979" w:type="dxa"/>
          </w:tcPr>
          <w:p w14:paraId="1AC44BC7" w14:textId="54D2E516" w:rsidR="00885C4F" w:rsidRPr="00877C03" w:rsidRDefault="00885C4F" w:rsidP="00877C03">
            <w:pPr>
              <w:tabs>
                <w:tab w:val="left" w:pos="1307"/>
              </w:tabs>
              <w:cnfStyle w:val="100000000000" w:firstRow="1" w:lastRow="0" w:firstColumn="0" w:lastColumn="0" w:oddVBand="0" w:evenVBand="0" w:oddHBand="0" w:evenHBand="0" w:firstRowFirstColumn="0" w:firstRowLastColumn="0" w:lastRowFirstColumn="0" w:lastRowLastColumn="0"/>
              <w:rPr>
                <w:sz w:val="21"/>
                <w:szCs w:val="21"/>
              </w:rPr>
            </w:pPr>
            <w:r w:rsidRPr="00877C03">
              <w:rPr>
                <w:sz w:val="21"/>
                <w:szCs w:val="21"/>
              </w:rPr>
              <w:t>Date limite</w:t>
            </w:r>
            <w:r>
              <w:rPr>
                <w:sz w:val="21"/>
                <w:szCs w:val="21"/>
              </w:rPr>
              <w:t xml:space="preserve"> de dépôt</w:t>
            </w:r>
          </w:p>
        </w:tc>
      </w:tr>
      <w:tr w:rsidR="00885C4F" w14:paraId="525E22B9" w14:textId="77777777" w:rsidTr="00877C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2F933753" w14:textId="531F87B6" w:rsidR="00885C4F" w:rsidRPr="00877C03" w:rsidRDefault="00885C4F" w:rsidP="00885C4F">
            <w:pPr>
              <w:tabs>
                <w:tab w:val="left" w:pos="1307"/>
              </w:tabs>
              <w:jc w:val="both"/>
              <w:rPr>
                <w:b w:val="0"/>
                <w:bCs w:val="0"/>
                <w:sz w:val="21"/>
                <w:szCs w:val="21"/>
              </w:rPr>
            </w:pPr>
            <w:r w:rsidRPr="00877C03">
              <w:rPr>
                <w:b w:val="0"/>
                <w:bCs w:val="0"/>
                <w:sz w:val="21"/>
                <w:szCs w:val="21"/>
              </w:rPr>
              <w:t>HORIZON</w:t>
            </w:r>
            <w:r>
              <w:rPr>
                <w:b w:val="0"/>
                <w:bCs w:val="0"/>
                <w:sz w:val="21"/>
                <w:szCs w:val="21"/>
              </w:rPr>
              <w:t>-HLTH-2021-ENVHLTH-02-02</w:t>
            </w:r>
          </w:p>
        </w:tc>
        <w:tc>
          <w:tcPr>
            <w:tcW w:w="2513" w:type="dxa"/>
          </w:tcPr>
          <w:p w14:paraId="3DBE2FB6" w14:textId="7D804398" w:rsidR="00885C4F" w:rsidRPr="00B53A03" w:rsidRDefault="00885C4F" w:rsidP="00877C03">
            <w:pPr>
              <w:tabs>
                <w:tab w:val="left" w:pos="1307"/>
              </w:tabs>
              <w:cnfStyle w:val="000000100000" w:firstRow="0" w:lastRow="0" w:firstColumn="0" w:lastColumn="0" w:oddVBand="0" w:evenVBand="0" w:oddHBand="1" w:evenHBand="0" w:firstRowFirstColumn="0" w:firstRowLastColumn="0" w:lastRowFirstColumn="0" w:lastRowLastColumn="0"/>
              <w:rPr>
                <w:sz w:val="21"/>
                <w:szCs w:val="21"/>
                <w:lang w:val="en-GB"/>
              </w:rPr>
            </w:pPr>
            <w:r w:rsidRPr="00B53A03">
              <w:rPr>
                <w:sz w:val="21"/>
                <w:szCs w:val="21"/>
                <w:lang w:val="en-GB"/>
              </w:rPr>
              <w:t>Indoor air quality and health</w:t>
            </w:r>
          </w:p>
        </w:tc>
        <w:tc>
          <w:tcPr>
            <w:tcW w:w="925" w:type="dxa"/>
          </w:tcPr>
          <w:p w14:paraId="44393AAD" w14:textId="1BA0CEAE" w:rsidR="00885C4F" w:rsidRPr="00877C03" w:rsidRDefault="00885C4F" w:rsidP="00885C4F">
            <w:pPr>
              <w:tabs>
                <w:tab w:val="left" w:pos="1307"/>
              </w:tabs>
              <w:jc w:val="both"/>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RIA</w:t>
            </w:r>
          </w:p>
        </w:tc>
        <w:tc>
          <w:tcPr>
            <w:tcW w:w="0" w:type="dxa"/>
          </w:tcPr>
          <w:p w14:paraId="628CC55A" w14:textId="0F88D78E" w:rsidR="00885C4F" w:rsidRPr="00877C03" w:rsidRDefault="00885C4F" w:rsidP="00885C4F">
            <w:pPr>
              <w:tabs>
                <w:tab w:val="left" w:pos="1307"/>
              </w:tabs>
              <w:jc w:val="both"/>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1</w:t>
            </w:r>
          </w:p>
        </w:tc>
        <w:tc>
          <w:tcPr>
            <w:tcW w:w="1406" w:type="dxa"/>
          </w:tcPr>
          <w:p w14:paraId="4D7C0AFA" w14:textId="1CF16026" w:rsidR="00885C4F" w:rsidRPr="00877C03" w:rsidRDefault="00885C4F" w:rsidP="00877C03">
            <w:pPr>
              <w:tabs>
                <w:tab w:val="left" w:pos="1307"/>
              </w:tabs>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22 avril 2021</w:t>
            </w:r>
          </w:p>
        </w:tc>
        <w:tc>
          <w:tcPr>
            <w:tcW w:w="1979" w:type="dxa"/>
          </w:tcPr>
          <w:p w14:paraId="2ABDE746" w14:textId="504BAD93" w:rsidR="00885C4F" w:rsidRPr="00877C03" w:rsidRDefault="00885C4F" w:rsidP="00877C03">
            <w:pPr>
              <w:tabs>
                <w:tab w:val="left" w:pos="1307"/>
              </w:tabs>
              <w:cnfStyle w:val="000000100000" w:firstRow="0" w:lastRow="0" w:firstColumn="0" w:lastColumn="0" w:oddVBand="0" w:evenVBand="0" w:oddHBand="1" w:evenHBand="0" w:firstRowFirstColumn="0" w:firstRowLastColumn="0" w:lastRowFirstColumn="0" w:lastRowLastColumn="0"/>
              <w:rPr>
                <w:sz w:val="21"/>
                <w:szCs w:val="21"/>
              </w:rPr>
            </w:pPr>
            <w:r>
              <w:rPr>
                <w:sz w:val="21"/>
                <w:szCs w:val="21"/>
              </w:rPr>
              <w:t>21 septembre 2021</w:t>
            </w:r>
          </w:p>
        </w:tc>
      </w:tr>
      <w:tr w:rsidR="00885C4F" w14:paraId="0DD62104" w14:textId="77777777" w:rsidTr="00877C03">
        <w:tc>
          <w:tcPr>
            <w:cnfStyle w:val="001000000000" w:firstRow="0" w:lastRow="0" w:firstColumn="1" w:lastColumn="0" w:oddVBand="0" w:evenVBand="0" w:oddHBand="0" w:evenHBand="0" w:firstRowFirstColumn="0" w:firstRowLastColumn="0" w:lastRowFirstColumn="0" w:lastRowLastColumn="0"/>
            <w:tcW w:w="1985" w:type="dxa"/>
          </w:tcPr>
          <w:p w14:paraId="0E7AB543" w14:textId="52FBA371" w:rsidR="00885C4F" w:rsidRPr="00877C03" w:rsidRDefault="00885C4F" w:rsidP="00885C4F">
            <w:pPr>
              <w:tabs>
                <w:tab w:val="left" w:pos="1307"/>
              </w:tabs>
              <w:jc w:val="both"/>
              <w:rPr>
                <w:b w:val="0"/>
                <w:bCs w:val="0"/>
                <w:sz w:val="21"/>
                <w:szCs w:val="21"/>
              </w:rPr>
            </w:pPr>
            <w:r w:rsidRPr="00116949">
              <w:rPr>
                <w:b w:val="0"/>
                <w:bCs w:val="0"/>
                <w:sz w:val="21"/>
                <w:szCs w:val="21"/>
              </w:rPr>
              <w:t>HORIZON</w:t>
            </w:r>
            <w:r>
              <w:rPr>
                <w:b w:val="0"/>
                <w:bCs w:val="0"/>
                <w:sz w:val="21"/>
                <w:szCs w:val="21"/>
              </w:rPr>
              <w:t>-HLTH-2021-ENVHLTH-02-03</w:t>
            </w:r>
          </w:p>
        </w:tc>
        <w:tc>
          <w:tcPr>
            <w:tcW w:w="2513" w:type="dxa"/>
          </w:tcPr>
          <w:p w14:paraId="148888EF" w14:textId="21B216D4" w:rsidR="00885C4F" w:rsidRPr="00B53A03" w:rsidRDefault="00885C4F" w:rsidP="00877C03">
            <w:pPr>
              <w:tabs>
                <w:tab w:val="left" w:pos="1307"/>
              </w:tabs>
              <w:cnfStyle w:val="000000000000" w:firstRow="0" w:lastRow="0" w:firstColumn="0" w:lastColumn="0" w:oddVBand="0" w:evenVBand="0" w:oddHBand="0" w:evenHBand="0" w:firstRowFirstColumn="0" w:firstRowLastColumn="0" w:lastRowFirstColumn="0" w:lastRowLastColumn="0"/>
              <w:rPr>
                <w:sz w:val="21"/>
                <w:szCs w:val="21"/>
                <w:lang w:val="en-GB"/>
              </w:rPr>
            </w:pPr>
            <w:r w:rsidRPr="00B53A03">
              <w:rPr>
                <w:sz w:val="21"/>
                <w:szCs w:val="21"/>
                <w:lang w:val="en-GB"/>
              </w:rPr>
              <w:t>Health impacts of climate change, costs and benefits of action and inaction</w:t>
            </w:r>
          </w:p>
        </w:tc>
        <w:tc>
          <w:tcPr>
            <w:tcW w:w="0" w:type="dxa"/>
          </w:tcPr>
          <w:p w14:paraId="54F9F823" w14:textId="1B3D08D7" w:rsidR="00885C4F" w:rsidRPr="00877C03" w:rsidRDefault="00885C4F" w:rsidP="00885C4F">
            <w:pPr>
              <w:tabs>
                <w:tab w:val="left" w:pos="1307"/>
              </w:tabs>
              <w:jc w:val="both"/>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RIA</w:t>
            </w:r>
          </w:p>
        </w:tc>
        <w:tc>
          <w:tcPr>
            <w:tcW w:w="968" w:type="dxa"/>
          </w:tcPr>
          <w:p w14:paraId="14B14337" w14:textId="0FC225F3" w:rsidR="00885C4F" w:rsidRPr="00877C03" w:rsidRDefault="00885C4F" w:rsidP="00885C4F">
            <w:pPr>
              <w:tabs>
                <w:tab w:val="left" w:pos="1307"/>
              </w:tabs>
              <w:jc w:val="both"/>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1</w:t>
            </w:r>
          </w:p>
        </w:tc>
        <w:tc>
          <w:tcPr>
            <w:tcW w:w="1406" w:type="dxa"/>
          </w:tcPr>
          <w:p w14:paraId="6F6C490E" w14:textId="1549931A" w:rsidR="00885C4F" w:rsidRPr="00877C03" w:rsidRDefault="00885C4F" w:rsidP="00877C03">
            <w:pPr>
              <w:tabs>
                <w:tab w:val="left" w:pos="1307"/>
              </w:tabs>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22 avril 2021</w:t>
            </w:r>
          </w:p>
        </w:tc>
        <w:tc>
          <w:tcPr>
            <w:tcW w:w="1979" w:type="dxa"/>
          </w:tcPr>
          <w:p w14:paraId="283B8125" w14:textId="429D07DD" w:rsidR="00885C4F" w:rsidRPr="00877C03" w:rsidRDefault="00885C4F" w:rsidP="00877C03">
            <w:pPr>
              <w:tabs>
                <w:tab w:val="left" w:pos="1307"/>
              </w:tabs>
              <w:cnfStyle w:val="000000000000" w:firstRow="0" w:lastRow="0" w:firstColumn="0" w:lastColumn="0" w:oddVBand="0" w:evenVBand="0" w:oddHBand="0" w:evenHBand="0" w:firstRowFirstColumn="0" w:firstRowLastColumn="0" w:lastRowFirstColumn="0" w:lastRowLastColumn="0"/>
              <w:rPr>
                <w:sz w:val="21"/>
                <w:szCs w:val="21"/>
              </w:rPr>
            </w:pPr>
            <w:r>
              <w:rPr>
                <w:sz w:val="21"/>
                <w:szCs w:val="21"/>
              </w:rPr>
              <w:t>21 septembre 2021</w:t>
            </w:r>
          </w:p>
        </w:tc>
      </w:tr>
    </w:tbl>
    <w:p w14:paraId="4532640F" w14:textId="2678FBD5" w:rsidR="00754CB4" w:rsidRDefault="008926DD" w:rsidP="00754CB4">
      <w:pPr>
        <w:pBdr>
          <w:top w:val="nil"/>
          <w:left w:val="nil"/>
          <w:bottom w:val="nil"/>
          <w:right w:val="nil"/>
          <w:between w:val="nil"/>
        </w:pBdr>
        <w:tabs>
          <w:tab w:val="left" w:pos="1307"/>
        </w:tabs>
        <w:jc w:val="both"/>
      </w:pPr>
      <w:r>
        <w:t xml:space="preserve">             </w:t>
      </w:r>
    </w:p>
    <w:p w14:paraId="68C5DE47" w14:textId="62E70063" w:rsidR="00445B1D" w:rsidRDefault="00445B1D" w:rsidP="00754CB4">
      <w:pPr>
        <w:pBdr>
          <w:top w:val="nil"/>
          <w:left w:val="nil"/>
          <w:bottom w:val="nil"/>
          <w:right w:val="nil"/>
          <w:between w:val="nil"/>
        </w:pBdr>
        <w:tabs>
          <w:tab w:val="left" w:pos="1307"/>
        </w:tabs>
        <w:jc w:val="both"/>
      </w:pPr>
      <w:r>
        <w:t xml:space="preserve">La liste complète des appels prévus pour la période 2021-2022 peut être trouvée </w:t>
      </w:r>
      <w:hyperlink r:id="rId14" w:history="1">
        <w:r w:rsidRPr="00445B1D">
          <w:rPr>
            <w:rStyle w:val="Lienhypertexte"/>
          </w:rPr>
          <w:t>ici</w:t>
        </w:r>
      </w:hyperlink>
      <w:r>
        <w:t>.</w:t>
      </w:r>
    </w:p>
    <w:p w14:paraId="6AD2E022" w14:textId="77777777" w:rsidR="00445B1D" w:rsidRDefault="00445B1D" w:rsidP="00754CB4">
      <w:pPr>
        <w:pBdr>
          <w:top w:val="nil"/>
          <w:left w:val="nil"/>
          <w:bottom w:val="nil"/>
          <w:right w:val="nil"/>
          <w:between w:val="nil"/>
        </w:pBdr>
        <w:tabs>
          <w:tab w:val="left" w:pos="1307"/>
        </w:tabs>
        <w:jc w:val="both"/>
      </w:pPr>
    </w:p>
    <w:p w14:paraId="1858A822" w14:textId="09ED2C8D" w:rsidR="00754CB4" w:rsidRDefault="00754CB4" w:rsidP="00754CB4">
      <w:pPr>
        <w:pBdr>
          <w:top w:val="nil"/>
          <w:left w:val="nil"/>
          <w:bottom w:val="nil"/>
          <w:right w:val="nil"/>
          <w:between w:val="nil"/>
        </w:pBdr>
        <w:tabs>
          <w:tab w:val="left" w:pos="1307"/>
        </w:tabs>
        <w:jc w:val="both"/>
      </w:pPr>
      <w:r>
        <w:t xml:space="preserve">Ces deux appels ne concernent donc que des </w:t>
      </w:r>
      <w:r w:rsidRPr="006A014C">
        <w:rPr>
          <w:b/>
          <w:bCs/>
        </w:rPr>
        <w:t>projets RIA</w:t>
      </w:r>
      <w:r>
        <w:t xml:space="preserve">, avec une </w:t>
      </w:r>
      <w:r w:rsidRPr="00661DA5">
        <w:rPr>
          <w:b/>
          <w:bCs/>
        </w:rPr>
        <w:t>date limite de dépôt du projet au 21 septembre 2021</w:t>
      </w:r>
      <w:r>
        <w:t>. Un nouveau programme de travail sera publié courant 2022 pour la suite du programme.</w:t>
      </w:r>
    </w:p>
    <w:p w14:paraId="0201144F" w14:textId="7EB5E54D" w:rsidR="00754CB4" w:rsidRDefault="00754CB4" w:rsidP="00754CB4">
      <w:pPr>
        <w:pBdr>
          <w:top w:val="nil"/>
          <w:left w:val="nil"/>
          <w:bottom w:val="nil"/>
          <w:right w:val="nil"/>
          <w:between w:val="nil"/>
        </w:pBdr>
        <w:tabs>
          <w:tab w:val="left" w:pos="1307"/>
        </w:tabs>
        <w:jc w:val="both"/>
      </w:pPr>
    </w:p>
    <w:p w14:paraId="6984ACE7" w14:textId="77777777" w:rsidR="00754CB4" w:rsidRDefault="00754CB4" w:rsidP="00754CB4">
      <w:pPr>
        <w:pBdr>
          <w:top w:val="nil"/>
          <w:left w:val="nil"/>
          <w:bottom w:val="nil"/>
          <w:right w:val="nil"/>
          <w:between w:val="nil"/>
        </w:pBdr>
        <w:tabs>
          <w:tab w:val="left" w:pos="1307"/>
        </w:tabs>
        <w:jc w:val="both"/>
      </w:pPr>
      <w:r>
        <w:t xml:space="preserve">Sur ces deux appels, </w:t>
      </w:r>
    </w:p>
    <w:p w14:paraId="0D06AE3B" w14:textId="1FF3EFA2" w:rsidR="00E34526" w:rsidRDefault="003735E4" w:rsidP="0088308B">
      <w:pPr>
        <w:pStyle w:val="Paragraphedeliste"/>
        <w:numPr>
          <w:ilvl w:val="0"/>
          <w:numId w:val="25"/>
        </w:numPr>
        <w:pBdr>
          <w:top w:val="nil"/>
          <w:left w:val="nil"/>
          <w:bottom w:val="nil"/>
          <w:right w:val="nil"/>
          <w:between w:val="nil"/>
        </w:pBdr>
        <w:tabs>
          <w:tab w:val="left" w:pos="1307"/>
        </w:tabs>
        <w:jc w:val="both"/>
      </w:pPr>
      <w:r>
        <w:t>L</w:t>
      </w:r>
      <w:r w:rsidR="00754CB4">
        <w:t xml:space="preserve">a Commission prévoit un budget de 40 millions pour l’appel </w:t>
      </w:r>
      <w:r w:rsidR="0088308B">
        <w:t>« Qualité de l’air intérieur et santé » (</w:t>
      </w:r>
      <w:r w:rsidR="00754CB4" w:rsidRPr="0088308B">
        <w:rPr>
          <w:i/>
          <w:iCs/>
        </w:rPr>
        <w:t xml:space="preserve">Indoor air </w:t>
      </w:r>
      <w:proofErr w:type="spellStart"/>
      <w:r w:rsidR="00754CB4" w:rsidRPr="0088308B">
        <w:rPr>
          <w:i/>
          <w:iCs/>
        </w:rPr>
        <w:t>quality</w:t>
      </w:r>
      <w:proofErr w:type="spellEnd"/>
      <w:r w:rsidR="00754CB4" w:rsidRPr="0088308B">
        <w:rPr>
          <w:i/>
          <w:iCs/>
        </w:rPr>
        <w:t xml:space="preserve"> and </w:t>
      </w:r>
      <w:proofErr w:type="spellStart"/>
      <w:r w:rsidR="00754CB4" w:rsidRPr="0088308B">
        <w:rPr>
          <w:i/>
          <w:iCs/>
        </w:rPr>
        <w:t>health</w:t>
      </w:r>
      <w:proofErr w:type="spellEnd"/>
      <w:r w:rsidR="0088308B">
        <w:t>)</w:t>
      </w:r>
      <w:r w:rsidR="00754CB4">
        <w:t xml:space="preserve">, pour un budget moyen de </w:t>
      </w:r>
      <w:r w:rsidR="00754CB4" w:rsidRPr="0088308B">
        <w:rPr>
          <w:b/>
          <w:bCs/>
        </w:rPr>
        <w:t>8 millions par projet</w:t>
      </w:r>
      <w:r w:rsidR="00754CB4">
        <w:t xml:space="preserve"> (donc environ 5 projets financés) ;</w:t>
      </w:r>
    </w:p>
    <w:p w14:paraId="110F2F7C" w14:textId="54A41C33" w:rsidR="00754CB4" w:rsidRDefault="00754CB4" w:rsidP="00E34526">
      <w:pPr>
        <w:pStyle w:val="Paragraphedeliste"/>
        <w:numPr>
          <w:ilvl w:val="0"/>
          <w:numId w:val="25"/>
        </w:numPr>
        <w:pBdr>
          <w:top w:val="nil"/>
          <w:left w:val="nil"/>
          <w:bottom w:val="nil"/>
          <w:right w:val="nil"/>
          <w:between w:val="nil"/>
        </w:pBdr>
        <w:tabs>
          <w:tab w:val="left" w:pos="1307"/>
        </w:tabs>
        <w:jc w:val="both"/>
      </w:pPr>
      <w:r w:rsidRPr="00754CB4">
        <w:t>Pour l’appel</w:t>
      </w:r>
      <w:r w:rsidR="0088308B">
        <w:t xml:space="preserve"> « Impacts du changement climatique sur la santé, coûts et bénéfices de l’action et de l’inaction »</w:t>
      </w:r>
      <w:r w:rsidRPr="00754CB4">
        <w:t xml:space="preserve"> </w:t>
      </w:r>
      <w:r w:rsidR="0088308B">
        <w:t>(</w:t>
      </w:r>
      <w:proofErr w:type="spellStart"/>
      <w:r w:rsidRPr="00F47C47">
        <w:rPr>
          <w:i/>
          <w:iCs/>
        </w:rPr>
        <w:t>Health</w:t>
      </w:r>
      <w:proofErr w:type="spellEnd"/>
      <w:r w:rsidRPr="00F47C47">
        <w:rPr>
          <w:i/>
          <w:iCs/>
        </w:rPr>
        <w:t xml:space="preserve"> impacts of </w:t>
      </w:r>
      <w:proofErr w:type="spellStart"/>
      <w:r w:rsidRPr="00F47C47">
        <w:rPr>
          <w:i/>
          <w:iCs/>
        </w:rPr>
        <w:t>climate</w:t>
      </w:r>
      <w:proofErr w:type="spellEnd"/>
      <w:r w:rsidRPr="00F47C47">
        <w:rPr>
          <w:i/>
          <w:iCs/>
        </w:rPr>
        <w:t xml:space="preserve"> change</w:t>
      </w:r>
      <w:r w:rsidR="0088308B">
        <w:t>)</w:t>
      </w:r>
      <w:r w:rsidR="00F47C47">
        <w:t xml:space="preserve"> </w:t>
      </w:r>
      <w:r w:rsidRPr="00754CB4">
        <w:t xml:space="preserve">la Commission a </w:t>
      </w:r>
      <w:r w:rsidR="00E34526" w:rsidRPr="00754CB4">
        <w:t>prévu</w:t>
      </w:r>
      <w:r w:rsidRPr="00754CB4">
        <w:t xml:space="preserve"> 60 millions de</w:t>
      </w:r>
      <w:r>
        <w:t xml:space="preserve"> budget, avec environ </w:t>
      </w:r>
      <w:r w:rsidRPr="00E34526">
        <w:rPr>
          <w:b/>
          <w:bCs/>
        </w:rPr>
        <w:t xml:space="preserve">10 millions </w:t>
      </w:r>
      <w:r w:rsidR="0088308B">
        <w:rPr>
          <w:b/>
          <w:bCs/>
        </w:rPr>
        <w:t>de subvention par projet</w:t>
      </w:r>
      <w:r>
        <w:t>, donc environ 6 projets financés.</w:t>
      </w:r>
    </w:p>
    <w:p w14:paraId="0CE40F75" w14:textId="33033255" w:rsidR="00955F14" w:rsidRDefault="00955F14" w:rsidP="00E34526">
      <w:pPr>
        <w:pBdr>
          <w:top w:val="nil"/>
          <w:left w:val="nil"/>
          <w:bottom w:val="nil"/>
          <w:right w:val="nil"/>
          <w:between w:val="nil"/>
        </w:pBdr>
        <w:tabs>
          <w:tab w:val="left" w:pos="1307"/>
        </w:tabs>
        <w:jc w:val="both"/>
        <w:rPr>
          <w:b/>
          <w:bCs/>
          <w:i/>
          <w:iCs/>
        </w:rPr>
      </w:pPr>
    </w:p>
    <w:p w14:paraId="1CAEC1FF" w14:textId="7B8A7B6C" w:rsidR="007D6156" w:rsidRPr="00B53A03" w:rsidRDefault="007D6156" w:rsidP="00E34526">
      <w:pPr>
        <w:pBdr>
          <w:top w:val="nil"/>
          <w:left w:val="nil"/>
          <w:bottom w:val="nil"/>
          <w:right w:val="nil"/>
          <w:between w:val="nil"/>
        </w:pBdr>
        <w:tabs>
          <w:tab w:val="left" w:pos="1307"/>
        </w:tabs>
        <w:jc w:val="both"/>
      </w:pPr>
      <w:r w:rsidRPr="00B53A03">
        <w:t>L’appel sur la qualité de l’air vise principalement à la caractérisation de la pollution de l’air intérieur et à l’identification de ses sources, au développement de moyens de suivi et d’alerte abordables et facile d’utilisation, la rédaction de guides et la mise en place de formation pour les professionnels de différents secteurs (construction, transport, etc.), identifier les effets des polluants sur la santé, etc.</w:t>
      </w:r>
    </w:p>
    <w:p w14:paraId="0AADC6D6" w14:textId="26B72957" w:rsidR="007D6156" w:rsidRPr="00B53A03" w:rsidRDefault="007D6156" w:rsidP="00E34526">
      <w:pPr>
        <w:pBdr>
          <w:top w:val="nil"/>
          <w:left w:val="nil"/>
          <w:bottom w:val="nil"/>
          <w:right w:val="nil"/>
          <w:between w:val="nil"/>
        </w:pBdr>
        <w:tabs>
          <w:tab w:val="left" w:pos="1307"/>
        </w:tabs>
        <w:jc w:val="both"/>
      </w:pPr>
    </w:p>
    <w:p w14:paraId="57EEA819" w14:textId="5B982E5D" w:rsidR="007D6156" w:rsidRDefault="007D6156">
      <w:pPr>
        <w:pBdr>
          <w:top w:val="nil"/>
          <w:left w:val="nil"/>
          <w:bottom w:val="nil"/>
          <w:right w:val="nil"/>
          <w:between w:val="nil"/>
        </w:pBdr>
        <w:tabs>
          <w:tab w:val="left" w:pos="1307"/>
        </w:tabs>
        <w:jc w:val="both"/>
      </w:pPr>
      <w:r w:rsidRPr="00B53A03">
        <w:t>L’appel sur le changement climatique</w:t>
      </w:r>
      <w:r>
        <w:t xml:space="preserve"> porte sur l'identification, le suivi et la quantification des effets directs et indirect sur la santé humaine, y compris en milieu professionnel, corrélée au changement climatique, en particulier dans les groupes de population vulnérables tels que les enfants ou dans les groupes à risque tels que les travailleurs. Des outils de surveillance innovants sont recherchés pour garantir une</w:t>
      </w:r>
      <w:r w:rsidR="00B6201B">
        <w:t xml:space="preserve"> </w:t>
      </w:r>
      <w:r>
        <w:t>réponse rapide aux menaces émergentes, pour alimenter et renforcer les systèmes d'alerte précoce, et pour</w:t>
      </w:r>
      <w:r w:rsidR="00B6201B">
        <w:t xml:space="preserve"> </w:t>
      </w:r>
      <w:r>
        <w:t>permettre la conception, le suivi et l'évaluation des interventions. Cela peut inclure des outils big data et d’intelligence artificielle (IA), télédétection, science citoyenne etc.</w:t>
      </w:r>
    </w:p>
    <w:p w14:paraId="79B3A125" w14:textId="77777777" w:rsidR="007D6156" w:rsidRDefault="007D6156" w:rsidP="007D6156">
      <w:pPr>
        <w:pBdr>
          <w:top w:val="nil"/>
          <w:left w:val="nil"/>
          <w:bottom w:val="nil"/>
          <w:right w:val="nil"/>
          <w:between w:val="nil"/>
        </w:pBdr>
        <w:tabs>
          <w:tab w:val="left" w:pos="1307"/>
        </w:tabs>
        <w:jc w:val="both"/>
      </w:pPr>
      <w:r>
        <w:t>Les propositions doivent choisir et aborder l'un des domaines de recherche suivants :</w:t>
      </w:r>
    </w:p>
    <w:p w14:paraId="494C6DDB" w14:textId="588003A4" w:rsidR="007D6156" w:rsidRDefault="007D6156" w:rsidP="007D6156">
      <w:pPr>
        <w:pStyle w:val="Paragraphedeliste"/>
        <w:numPr>
          <w:ilvl w:val="0"/>
          <w:numId w:val="25"/>
        </w:numPr>
        <w:pBdr>
          <w:top w:val="nil"/>
          <w:left w:val="nil"/>
          <w:bottom w:val="nil"/>
          <w:right w:val="nil"/>
          <w:between w:val="nil"/>
        </w:pBdr>
        <w:tabs>
          <w:tab w:val="left" w:pos="1307"/>
        </w:tabs>
        <w:jc w:val="both"/>
      </w:pPr>
      <w:r>
        <w:lastRenderedPageBreak/>
        <w:t xml:space="preserve">Recherche sur les relations entre les changements dans les risques environnementaux causés par changement climatique, les impacts sur les écosystèmes interdépendants et leur influence sur la santé </w:t>
      </w:r>
      <w:proofErr w:type="gramStart"/>
      <w:r>
        <w:t>humaine;</w:t>
      </w:r>
      <w:proofErr w:type="gramEnd"/>
    </w:p>
    <w:p w14:paraId="5BB9A8E6" w14:textId="681D128B" w:rsidR="007D6156" w:rsidRPr="00B53A03" w:rsidRDefault="007D6156" w:rsidP="00B53A03">
      <w:pPr>
        <w:pStyle w:val="Paragraphedeliste"/>
        <w:numPr>
          <w:ilvl w:val="0"/>
          <w:numId w:val="25"/>
        </w:numPr>
        <w:pBdr>
          <w:top w:val="nil"/>
          <w:left w:val="nil"/>
          <w:bottom w:val="nil"/>
          <w:right w:val="nil"/>
          <w:between w:val="nil"/>
        </w:pBdr>
        <w:tabs>
          <w:tab w:val="left" w:pos="1307"/>
        </w:tabs>
        <w:jc w:val="both"/>
      </w:pPr>
      <w:r>
        <w:t>Émergence et transmission d'agents pathogènes et propagation de zoonoses induites par le climat (en utilisant les approches Eco-</w:t>
      </w:r>
      <w:proofErr w:type="spellStart"/>
      <w:r>
        <w:t>health</w:t>
      </w:r>
      <w:proofErr w:type="spellEnd"/>
      <w:r>
        <w:t xml:space="preserve"> et One </w:t>
      </w:r>
      <w:proofErr w:type="spellStart"/>
      <w:r>
        <w:t>Health</w:t>
      </w:r>
      <w:proofErr w:type="spellEnd"/>
      <w:r>
        <w:t>).</w:t>
      </w:r>
    </w:p>
    <w:p w14:paraId="1346BD7D" w14:textId="77777777" w:rsidR="007D6156" w:rsidRPr="00E34526" w:rsidRDefault="007D6156" w:rsidP="00E34526">
      <w:pPr>
        <w:pBdr>
          <w:top w:val="nil"/>
          <w:left w:val="nil"/>
          <w:bottom w:val="nil"/>
          <w:right w:val="nil"/>
          <w:between w:val="nil"/>
        </w:pBdr>
        <w:tabs>
          <w:tab w:val="left" w:pos="1307"/>
        </w:tabs>
        <w:jc w:val="both"/>
        <w:rPr>
          <w:b/>
          <w:bCs/>
          <w:i/>
          <w:iCs/>
        </w:rPr>
      </w:pPr>
    </w:p>
    <w:p w14:paraId="2BF461CB" w14:textId="7FCBA82D" w:rsidR="008926DD" w:rsidRPr="00877C03" w:rsidRDefault="008926DD" w:rsidP="00877C03">
      <w:pPr>
        <w:pStyle w:val="Paragraphedeliste"/>
        <w:numPr>
          <w:ilvl w:val="0"/>
          <w:numId w:val="21"/>
        </w:numPr>
        <w:pBdr>
          <w:top w:val="nil"/>
          <w:left w:val="nil"/>
          <w:bottom w:val="nil"/>
          <w:right w:val="nil"/>
          <w:between w:val="nil"/>
        </w:pBdr>
        <w:tabs>
          <w:tab w:val="left" w:pos="1307"/>
        </w:tabs>
        <w:jc w:val="both"/>
        <w:rPr>
          <w:b/>
          <w:bCs/>
        </w:rPr>
      </w:pPr>
      <w:r w:rsidRPr="00877C03">
        <w:rPr>
          <w:b/>
          <w:bCs/>
          <w:color w:val="000000"/>
        </w:rPr>
        <w:t>P</w:t>
      </w:r>
      <w:r w:rsidRPr="00877C03">
        <w:rPr>
          <w:b/>
          <w:bCs/>
        </w:rPr>
        <w:t>rojets de type</w:t>
      </w:r>
      <w:r w:rsidRPr="00877C03">
        <w:rPr>
          <w:b/>
          <w:bCs/>
          <w:i/>
          <w:iCs/>
        </w:rPr>
        <w:t xml:space="preserve"> </w:t>
      </w:r>
      <w:proofErr w:type="spellStart"/>
      <w:r w:rsidRPr="00877C03">
        <w:rPr>
          <w:b/>
          <w:bCs/>
          <w:i/>
          <w:iCs/>
        </w:rPr>
        <w:t>Research</w:t>
      </w:r>
      <w:proofErr w:type="spellEnd"/>
      <w:r w:rsidRPr="00877C03">
        <w:rPr>
          <w:b/>
          <w:bCs/>
          <w:i/>
          <w:iCs/>
        </w:rPr>
        <w:t xml:space="preserve"> and Innovation Actions </w:t>
      </w:r>
      <w:r w:rsidRPr="00877C03">
        <w:rPr>
          <w:b/>
          <w:bCs/>
        </w:rPr>
        <w:t>(RIA)</w:t>
      </w:r>
    </w:p>
    <w:p w14:paraId="5958607E" w14:textId="77777777" w:rsidR="008926DD" w:rsidRDefault="008926DD">
      <w:pPr>
        <w:pBdr>
          <w:top w:val="nil"/>
          <w:left w:val="nil"/>
          <w:bottom w:val="nil"/>
          <w:right w:val="nil"/>
          <w:between w:val="nil"/>
        </w:pBdr>
        <w:tabs>
          <w:tab w:val="left" w:pos="1307"/>
        </w:tabs>
        <w:jc w:val="both"/>
        <w:rPr>
          <w:color w:val="000000"/>
        </w:rPr>
      </w:pPr>
    </w:p>
    <w:p w14:paraId="2E7AA102" w14:textId="39160548" w:rsidR="008926DD" w:rsidRDefault="008926DD">
      <w:pPr>
        <w:pBdr>
          <w:top w:val="nil"/>
          <w:left w:val="nil"/>
          <w:bottom w:val="nil"/>
          <w:right w:val="nil"/>
          <w:between w:val="nil"/>
        </w:pBdr>
        <w:tabs>
          <w:tab w:val="left" w:pos="1307"/>
        </w:tabs>
        <w:jc w:val="both"/>
      </w:pPr>
      <w:r>
        <w:rPr>
          <w:color w:val="000000"/>
        </w:rPr>
        <w:t xml:space="preserve">Ils </w:t>
      </w:r>
      <w:r>
        <w:t xml:space="preserve">ont pour but de </w:t>
      </w:r>
      <w:r w:rsidRPr="007C30A6">
        <w:rPr>
          <w:b/>
          <w:bCs/>
        </w:rPr>
        <w:t>mettre au point de nouvelles connaissances</w:t>
      </w:r>
      <w:r>
        <w:t>, d’explorer la faisabilité technique d’une technologie, d’un produit, d’un procédé, d’un service. Ce sont des projets R&amp;D à la maturité technologique plutôt basse (</w:t>
      </w:r>
      <w:r w:rsidR="007C30A6">
        <w:t xml:space="preserve">arrivée à </w:t>
      </w:r>
      <w:r>
        <w:t xml:space="preserve">maximum </w:t>
      </w:r>
      <w:r w:rsidRPr="003477CE">
        <w:rPr>
          <w:b/>
          <w:bCs/>
        </w:rPr>
        <w:t>TRL 5 ou 6</w:t>
      </w:r>
      <w:r w:rsidR="007C30A6">
        <w:t xml:space="preserve"> à la fin du projet</w:t>
      </w:r>
      <w:r w:rsidR="006A014C">
        <w:t xml:space="preserve"> cf</w:t>
      </w:r>
      <w:r w:rsidR="003477CE">
        <w:t>.</w:t>
      </w:r>
      <w:r w:rsidR="006A014C">
        <w:t xml:space="preserve"> illustration ci-dessous</w:t>
      </w:r>
      <w:r>
        <w:t xml:space="preserve">). </w:t>
      </w:r>
    </w:p>
    <w:p w14:paraId="317F9E66" w14:textId="0C62FC35" w:rsidR="008926DD" w:rsidRPr="007D7F68" w:rsidRDefault="008926DD" w:rsidP="008926DD">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t xml:space="preserve">Il s’agit de </w:t>
      </w:r>
      <w:r w:rsidRPr="001B0059">
        <w:rPr>
          <w:rFonts w:asciiTheme="majorHAnsi" w:hAnsiTheme="majorHAnsi" w:cstheme="majorHAnsi"/>
          <w:b/>
          <w:bCs/>
          <w:sz w:val="22"/>
          <w:szCs w:val="22"/>
        </w:rPr>
        <w:t>projets collaboratifs</w:t>
      </w:r>
      <w:r w:rsidR="007C30A6">
        <w:rPr>
          <w:rFonts w:asciiTheme="majorHAnsi" w:hAnsiTheme="majorHAnsi" w:cstheme="majorHAnsi"/>
          <w:sz w:val="22"/>
          <w:szCs w:val="22"/>
        </w:rPr>
        <w:t xml:space="preserve"> (minimum 3 bénéficiaires, le plus souvent entre 3 et 10, représentants au moins trois Etats différents).</w:t>
      </w:r>
    </w:p>
    <w:p w14:paraId="07EC6C46" w14:textId="745032EE" w:rsidR="008926DD" w:rsidRPr="007D7F68" w:rsidRDefault="008926DD" w:rsidP="008926DD">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t>Ces activités peuvent inclure</w:t>
      </w:r>
      <w:r w:rsidR="007C30A6">
        <w:rPr>
          <w:rFonts w:asciiTheme="majorHAnsi" w:hAnsiTheme="majorHAnsi" w:cstheme="majorHAnsi"/>
          <w:sz w:val="22"/>
          <w:szCs w:val="22"/>
        </w:rPr>
        <w:t>, par exemple,</w:t>
      </w:r>
      <w:r w:rsidRPr="007D7F68">
        <w:rPr>
          <w:rFonts w:asciiTheme="majorHAnsi" w:hAnsiTheme="majorHAnsi" w:cstheme="majorHAnsi"/>
          <w:sz w:val="22"/>
          <w:szCs w:val="22"/>
        </w:rPr>
        <w:t xml:space="preserve"> de la recherche fondamentale et appliquée, du développement et de l’intégration de technologie, des essais et la validation d’un prototype à petite échelle dans un laboratoire ou un environnement simulé.</w:t>
      </w:r>
    </w:p>
    <w:p w14:paraId="20CBCD1C" w14:textId="2FE483E8" w:rsidR="008926DD" w:rsidRPr="008926DD" w:rsidRDefault="008926DD" w:rsidP="008926DD">
      <w:pPr>
        <w:pStyle w:val="NormalWeb"/>
        <w:spacing w:before="105" w:beforeAutospacing="0" w:after="105" w:afterAutospacing="0"/>
        <w:jc w:val="both"/>
        <w:rPr>
          <w:rFonts w:asciiTheme="majorHAnsi" w:hAnsiTheme="majorHAnsi" w:cstheme="majorHAnsi"/>
          <w:sz w:val="22"/>
          <w:szCs w:val="22"/>
        </w:rPr>
      </w:pPr>
      <w:r w:rsidRPr="007D7F68">
        <w:rPr>
          <w:rFonts w:asciiTheme="majorHAnsi" w:hAnsiTheme="majorHAnsi" w:cstheme="majorHAnsi"/>
          <w:sz w:val="22"/>
          <w:szCs w:val="22"/>
        </w:rPr>
        <w:t xml:space="preserve">Les projets peuvent </w:t>
      </w:r>
      <w:r w:rsidR="007C30A6">
        <w:rPr>
          <w:rFonts w:asciiTheme="majorHAnsi" w:hAnsiTheme="majorHAnsi" w:cstheme="majorHAnsi"/>
          <w:sz w:val="22"/>
          <w:szCs w:val="22"/>
        </w:rPr>
        <w:t xml:space="preserve">également </w:t>
      </w:r>
      <w:r w:rsidRPr="007D7F68">
        <w:rPr>
          <w:rFonts w:asciiTheme="majorHAnsi" w:hAnsiTheme="majorHAnsi" w:cstheme="majorHAnsi"/>
          <w:sz w:val="22"/>
          <w:szCs w:val="22"/>
        </w:rPr>
        <w:t>inclure des activités de démonstration ou pilotes visant à montrer la faisabilité technique</w:t>
      </w:r>
      <w:r w:rsidR="007C30A6">
        <w:rPr>
          <w:rFonts w:asciiTheme="majorHAnsi" w:hAnsiTheme="majorHAnsi" w:cstheme="majorHAnsi"/>
          <w:sz w:val="22"/>
          <w:szCs w:val="22"/>
        </w:rPr>
        <w:t xml:space="preserve"> de la technique ou du procédé</w:t>
      </w:r>
      <w:r w:rsidRPr="007D7F68">
        <w:rPr>
          <w:rFonts w:asciiTheme="majorHAnsi" w:hAnsiTheme="majorHAnsi" w:cstheme="majorHAnsi"/>
          <w:sz w:val="22"/>
          <w:szCs w:val="22"/>
        </w:rPr>
        <w:t xml:space="preserve"> dans un environnement presque opérationnel.</w:t>
      </w:r>
    </w:p>
    <w:p w14:paraId="15078EEB" w14:textId="3A8BF593" w:rsidR="00DA7566" w:rsidRPr="007C30A6" w:rsidRDefault="002B7BB0" w:rsidP="007C30A6">
      <w:pPr>
        <w:pStyle w:val="Paragraphedeliste"/>
        <w:numPr>
          <w:ilvl w:val="0"/>
          <w:numId w:val="27"/>
        </w:numPr>
        <w:pBdr>
          <w:top w:val="nil"/>
          <w:left w:val="nil"/>
          <w:bottom w:val="nil"/>
          <w:right w:val="nil"/>
          <w:between w:val="nil"/>
        </w:pBdr>
        <w:tabs>
          <w:tab w:val="left" w:pos="1307"/>
        </w:tabs>
        <w:jc w:val="both"/>
        <w:rPr>
          <w:rFonts w:asciiTheme="majorHAnsi" w:hAnsiTheme="majorHAnsi" w:cstheme="majorHAnsi"/>
        </w:rPr>
      </w:pPr>
      <w:r>
        <w:t>Le taux de remboursement est de 100% des dépenses éligibles pour des projets d’une durée moyenne de 3 à 5 ans.</w:t>
      </w:r>
    </w:p>
    <w:p w14:paraId="20B13B08" w14:textId="78619BA6" w:rsidR="00DA7566" w:rsidRDefault="00DA7566" w:rsidP="00754CB4">
      <w:pPr>
        <w:pBdr>
          <w:top w:val="nil"/>
          <w:left w:val="nil"/>
          <w:bottom w:val="nil"/>
          <w:right w:val="nil"/>
          <w:between w:val="nil"/>
        </w:pBdr>
        <w:tabs>
          <w:tab w:val="left" w:pos="1307"/>
        </w:tabs>
        <w:jc w:val="both"/>
      </w:pPr>
    </w:p>
    <w:p w14:paraId="539D1F79" w14:textId="4DCD3BA6" w:rsidR="00877C03" w:rsidRDefault="00877C03" w:rsidP="00754CB4">
      <w:pPr>
        <w:pBdr>
          <w:top w:val="nil"/>
          <w:left w:val="nil"/>
          <w:bottom w:val="nil"/>
          <w:right w:val="nil"/>
          <w:between w:val="nil"/>
        </w:pBdr>
        <w:tabs>
          <w:tab w:val="left" w:pos="1307"/>
        </w:tabs>
        <w:jc w:val="both"/>
      </w:pPr>
    </w:p>
    <w:p w14:paraId="55762F36" w14:textId="31FE17A4" w:rsidR="00877C03" w:rsidRDefault="00877C03" w:rsidP="00754CB4">
      <w:pPr>
        <w:pBdr>
          <w:top w:val="nil"/>
          <w:left w:val="nil"/>
          <w:bottom w:val="nil"/>
          <w:right w:val="nil"/>
          <w:between w:val="nil"/>
        </w:pBdr>
        <w:tabs>
          <w:tab w:val="left" w:pos="1307"/>
        </w:tabs>
        <w:jc w:val="both"/>
      </w:pPr>
    </w:p>
    <w:p w14:paraId="7BDDAD11" w14:textId="77777777" w:rsidR="00877C03" w:rsidRDefault="00877C03" w:rsidP="00754CB4">
      <w:pPr>
        <w:pBdr>
          <w:top w:val="nil"/>
          <w:left w:val="nil"/>
          <w:bottom w:val="nil"/>
          <w:right w:val="nil"/>
          <w:between w:val="nil"/>
        </w:pBdr>
        <w:tabs>
          <w:tab w:val="left" w:pos="1307"/>
        </w:tabs>
        <w:jc w:val="both"/>
      </w:pPr>
    </w:p>
    <w:p w14:paraId="7BB511CC" w14:textId="77777777" w:rsidR="006A014C" w:rsidRPr="00877C03" w:rsidRDefault="006A014C" w:rsidP="00877C03">
      <w:pPr>
        <w:pStyle w:val="Paragraphedeliste"/>
        <w:numPr>
          <w:ilvl w:val="0"/>
          <w:numId w:val="21"/>
        </w:numPr>
        <w:pBdr>
          <w:top w:val="nil"/>
          <w:left w:val="nil"/>
          <w:bottom w:val="nil"/>
          <w:right w:val="nil"/>
          <w:between w:val="nil"/>
        </w:pBdr>
        <w:tabs>
          <w:tab w:val="left" w:pos="1307"/>
        </w:tabs>
        <w:jc w:val="both"/>
        <w:rPr>
          <w:b/>
          <w:bCs/>
          <w:color w:val="000000"/>
        </w:rPr>
      </w:pPr>
      <w:r w:rsidRPr="00877C03">
        <w:rPr>
          <w:b/>
          <w:bCs/>
          <w:color w:val="000000"/>
        </w:rPr>
        <w:t>Echelle de TRL</w:t>
      </w:r>
    </w:p>
    <w:p w14:paraId="2569EE36" w14:textId="6BE44EE1" w:rsidR="006A014C" w:rsidRDefault="006A014C" w:rsidP="00754CB4">
      <w:pPr>
        <w:pBdr>
          <w:top w:val="nil"/>
          <w:left w:val="nil"/>
          <w:bottom w:val="nil"/>
          <w:right w:val="nil"/>
          <w:between w:val="nil"/>
        </w:pBdr>
        <w:tabs>
          <w:tab w:val="left" w:pos="1307"/>
        </w:tabs>
        <w:jc w:val="both"/>
      </w:pPr>
    </w:p>
    <w:p w14:paraId="30B2EF99" w14:textId="5130D822" w:rsidR="006A014C" w:rsidRDefault="006A014C" w:rsidP="00141A49">
      <w:pPr>
        <w:pBdr>
          <w:top w:val="nil"/>
          <w:left w:val="nil"/>
          <w:bottom w:val="nil"/>
          <w:right w:val="nil"/>
          <w:between w:val="nil"/>
        </w:pBdr>
        <w:tabs>
          <w:tab w:val="left" w:pos="1307"/>
        </w:tabs>
        <w:jc w:val="center"/>
      </w:pPr>
      <w:r>
        <w:rPr>
          <w:noProof/>
        </w:rPr>
        <w:lastRenderedPageBreak/>
        <w:drawing>
          <wp:inline distT="0" distB="0" distL="0" distR="0" wp14:anchorId="59E076C7" wp14:editId="1348BB9D">
            <wp:extent cx="5219700" cy="497475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5">
                      <a:extLst>
                        <a:ext uri="{28A0092B-C50C-407E-A947-70E740481C1C}">
                          <a14:useLocalDpi xmlns:a14="http://schemas.microsoft.com/office/drawing/2010/main" val="0"/>
                        </a:ext>
                      </a:extLst>
                    </a:blip>
                    <a:stretch>
                      <a:fillRect/>
                    </a:stretch>
                  </pic:blipFill>
                  <pic:spPr>
                    <a:xfrm>
                      <a:off x="0" y="0"/>
                      <a:ext cx="5241623" cy="4995646"/>
                    </a:xfrm>
                    <a:prstGeom prst="rect">
                      <a:avLst/>
                    </a:prstGeom>
                  </pic:spPr>
                </pic:pic>
              </a:graphicData>
            </a:graphic>
          </wp:inline>
        </w:drawing>
      </w:r>
    </w:p>
    <w:p w14:paraId="036A33BF" w14:textId="455A5A94" w:rsidR="006A014C" w:rsidRPr="00C70BAB" w:rsidRDefault="006D7F2A" w:rsidP="00754CB4">
      <w:pPr>
        <w:pBdr>
          <w:top w:val="nil"/>
          <w:left w:val="nil"/>
          <w:bottom w:val="nil"/>
          <w:right w:val="nil"/>
          <w:between w:val="nil"/>
        </w:pBdr>
        <w:tabs>
          <w:tab w:val="left" w:pos="1307"/>
        </w:tabs>
        <w:jc w:val="both"/>
        <w:rPr>
          <w:i/>
          <w:iCs/>
        </w:rPr>
      </w:pPr>
      <w:r>
        <w:rPr>
          <w:i/>
          <w:iCs/>
          <w:sz w:val="20"/>
          <w:szCs w:val="20"/>
        </w:rPr>
        <w:t xml:space="preserve">                </w:t>
      </w:r>
      <w:r w:rsidR="00C70BAB" w:rsidRPr="00C70BAB">
        <w:rPr>
          <w:i/>
          <w:iCs/>
          <w:sz w:val="20"/>
          <w:szCs w:val="20"/>
        </w:rPr>
        <w:t xml:space="preserve">Source : </w:t>
      </w:r>
      <w:hyperlink r:id="rId16" w:history="1">
        <w:r w:rsidR="0008070C" w:rsidRPr="00100E92">
          <w:rPr>
            <w:rStyle w:val="Lienhypertexte"/>
            <w:i/>
            <w:iCs/>
            <w:sz w:val="20"/>
            <w:szCs w:val="20"/>
          </w:rPr>
          <w:t>https://www.lescahiersdelinnovation.com/</w:t>
        </w:r>
      </w:hyperlink>
      <w:r w:rsidR="0008070C">
        <w:rPr>
          <w:i/>
          <w:iCs/>
          <w:sz w:val="20"/>
          <w:szCs w:val="20"/>
        </w:rPr>
        <w:t xml:space="preserve"> </w:t>
      </w:r>
    </w:p>
    <w:p w14:paraId="4045CF5C" w14:textId="4B7D93E6" w:rsidR="006A014C" w:rsidRDefault="006A014C" w:rsidP="00754CB4">
      <w:pPr>
        <w:pBdr>
          <w:top w:val="nil"/>
          <w:left w:val="nil"/>
          <w:bottom w:val="nil"/>
          <w:right w:val="nil"/>
          <w:between w:val="nil"/>
        </w:pBdr>
        <w:tabs>
          <w:tab w:val="left" w:pos="1307"/>
        </w:tabs>
        <w:jc w:val="both"/>
      </w:pPr>
    </w:p>
    <w:p w14:paraId="0000002D" w14:textId="77777777" w:rsidR="00CC781C" w:rsidRDefault="008F7158">
      <w:pPr>
        <w:pStyle w:val="Titre1"/>
        <w:ind w:firstLine="360"/>
      </w:pPr>
      <w:r>
        <w:t>Dispositions administratives et financières</w:t>
      </w:r>
    </w:p>
    <w:p w14:paraId="13D88390" w14:textId="7F93791B" w:rsidR="007765E3" w:rsidRDefault="007765E3" w:rsidP="007765E3">
      <w:pPr>
        <w:pBdr>
          <w:top w:val="nil"/>
          <w:left w:val="nil"/>
          <w:bottom w:val="nil"/>
          <w:right w:val="nil"/>
          <w:between w:val="nil"/>
        </w:pBdr>
        <w:tabs>
          <w:tab w:val="left" w:pos="1307"/>
        </w:tabs>
        <w:jc w:val="both"/>
      </w:pPr>
    </w:p>
    <w:p w14:paraId="05F214F2" w14:textId="77777777" w:rsidR="007765E3" w:rsidRDefault="007765E3" w:rsidP="007765E3">
      <w:pPr>
        <w:pStyle w:val="Paragraphedeliste"/>
        <w:numPr>
          <w:ilvl w:val="0"/>
          <w:numId w:val="17"/>
        </w:numPr>
        <w:pBdr>
          <w:top w:val="nil"/>
          <w:left w:val="nil"/>
          <w:bottom w:val="nil"/>
          <w:right w:val="nil"/>
          <w:between w:val="nil"/>
        </w:pBdr>
        <w:tabs>
          <w:tab w:val="left" w:pos="1307"/>
        </w:tabs>
        <w:jc w:val="both"/>
      </w:pPr>
      <w:r w:rsidRPr="00037D79">
        <w:rPr>
          <w:b/>
          <w:bCs/>
        </w:rPr>
        <w:t>Les coûts éligibles</w:t>
      </w:r>
      <w:r>
        <w:t xml:space="preserve"> (c’est-à-dire les coûts qui peuvent être déclarés dans le budget et pris en compte pour le calcul de la subvention) sont les suivants : </w:t>
      </w:r>
    </w:p>
    <w:p w14:paraId="114852C9" w14:textId="77777777" w:rsidR="007765E3" w:rsidRDefault="007765E3" w:rsidP="007765E3">
      <w:pPr>
        <w:pStyle w:val="Paragraphedeliste"/>
        <w:numPr>
          <w:ilvl w:val="0"/>
          <w:numId w:val="10"/>
        </w:numPr>
        <w:pBdr>
          <w:top w:val="nil"/>
          <w:left w:val="nil"/>
          <w:bottom w:val="nil"/>
          <w:right w:val="nil"/>
          <w:between w:val="nil"/>
        </w:pBdr>
        <w:tabs>
          <w:tab w:val="left" w:pos="1307"/>
        </w:tabs>
        <w:jc w:val="both"/>
      </w:pPr>
      <w:r w:rsidRPr="00037D79">
        <w:rPr>
          <w:u w:val="single"/>
        </w:rPr>
        <w:t>Coûts de personnel</w:t>
      </w:r>
      <w:r>
        <w:t xml:space="preserve"> – déclaration aux coûts réels (ou déclaration aux taux journalier si c’est la pratique habituelle)</w:t>
      </w:r>
    </w:p>
    <w:p w14:paraId="1E9CAFC1"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Employés</w:t>
      </w:r>
    </w:p>
    <w:p w14:paraId="7C0F4492"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Personnes physiques sous contrats directs</w:t>
      </w:r>
    </w:p>
    <w:p w14:paraId="70C67D7D"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Personnels détachés par un tiers contre paiement</w:t>
      </w:r>
    </w:p>
    <w:p w14:paraId="09C90658"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Directeurs de PME sans salaire</w:t>
      </w:r>
    </w:p>
    <w:p w14:paraId="00052109" w14:textId="77777777" w:rsidR="007765E3" w:rsidRDefault="007765E3" w:rsidP="007765E3">
      <w:pPr>
        <w:pStyle w:val="Paragraphedeliste"/>
        <w:numPr>
          <w:ilvl w:val="0"/>
          <w:numId w:val="10"/>
        </w:numPr>
        <w:pBdr>
          <w:top w:val="nil"/>
          <w:left w:val="nil"/>
          <w:bottom w:val="nil"/>
          <w:right w:val="nil"/>
          <w:between w:val="nil"/>
        </w:pBdr>
        <w:tabs>
          <w:tab w:val="left" w:pos="1307"/>
        </w:tabs>
        <w:jc w:val="both"/>
      </w:pPr>
      <w:r w:rsidRPr="00037D79">
        <w:rPr>
          <w:u w:val="single"/>
        </w:rPr>
        <w:t>Prestations/assistance externe</w:t>
      </w:r>
      <w:r>
        <w:t xml:space="preserve"> (pour la réalisation directe d’une action importante pour le projet) – coûts réels</w:t>
      </w:r>
    </w:p>
    <w:p w14:paraId="5FD0F92F" w14:textId="77777777" w:rsidR="007765E3" w:rsidRPr="00037D79" w:rsidRDefault="007765E3" w:rsidP="007765E3">
      <w:pPr>
        <w:pStyle w:val="Paragraphedeliste"/>
        <w:numPr>
          <w:ilvl w:val="0"/>
          <w:numId w:val="10"/>
        </w:numPr>
        <w:pBdr>
          <w:top w:val="nil"/>
          <w:left w:val="nil"/>
          <w:bottom w:val="nil"/>
          <w:right w:val="nil"/>
          <w:between w:val="nil"/>
        </w:pBdr>
        <w:tabs>
          <w:tab w:val="left" w:pos="1307"/>
        </w:tabs>
        <w:jc w:val="both"/>
      </w:pPr>
      <w:r w:rsidRPr="00037D79">
        <w:rPr>
          <w:u w:val="single"/>
        </w:rPr>
        <w:t>Achats</w:t>
      </w:r>
      <w:r w:rsidRPr="00037D79">
        <w:t xml:space="preserve"> – coûts réels</w:t>
      </w:r>
    </w:p>
    <w:p w14:paraId="6EF472A3"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Déplacements</w:t>
      </w:r>
    </w:p>
    <w:p w14:paraId="32DEDADD"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Equipements</w:t>
      </w:r>
    </w:p>
    <w:p w14:paraId="2A7F2FAC" w14:textId="77777777" w:rsidR="007765E3" w:rsidRDefault="007765E3" w:rsidP="007765E3">
      <w:pPr>
        <w:pStyle w:val="Paragraphedeliste"/>
        <w:numPr>
          <w:ilvl w:val="1"/>
          <w:numId w:val="10"/>
        </w:numPr>
        <w:pBdr>
          <w:top w:val="nil"/>
          <w:left w:val="nil"/>
          <w:bottom w:val="nil"/>
          <w:right w:val="nil"/>
          <w:between w:val="nil"/>
        </w:pBdr>
        <w:tabs>
          <w:tab w:val="left" w:pos="1307"/>
        </w:tabs>
        <w:jc w:val="both"/>
      </w:pPr>
      <w:r>
        <w:t>Autres biens, travaux et services (pour des travaux ou services annexes)</w:t>
      </w:r>
    </w:p>
    <w:p w14:paraId="6C5495B9" w14:textId="77777777" w:rsidR="007765E3" w:rsidRPr="00037D79" w:rsidRDefault="007765E3" w:rsidP="007765E3">
      <w:pPr>
        <w:pStyle w:val="Paragraphedeliste"/>
        <w:numPr>
          <w:ilvl w:val="0"/>
          <w:numId w:val="22"/>
        </w:numPr>
        <w:pBdr>
          <w:top w:val="nil"/>
          <w:left w:val="nil"/>
          <w:bottom w:val="nil"/>
          <w:right w:val="nil"/>
          <w:between w:val="nil"/>
        </w:pBdr>
        <w:tabs>
          <w:tab w:val="left" w:pos="1307"/>
        </w:tabs>
        <w:jc w:val="both"/>
        <w:rPr>
          <w:u w:val="single"/>
        </w:rPr>
      </w:pPr>
      <w:r w:rsidRPr="00037D79">
        <w:rPr>
          <w:u w:val="single"/>
        </w:rPr>
        <w:t>Autres coûts</w:t>
      </w:r>
    </w:p>
    <w:p w14:paraId="0400DBE9" w14:textId="77777777" w:rsidR="007765E3" w:rsidRDefault="007765E3" w:rsidP="007765E3">
      <w:pPr>
        <w:pStyle w:val="Paragraphedeliste"/>
        <w:numPr>
          <w:ilvl w:val="1"/>
          <w:numId w:val="22"/>
        </w:numPr>
        <w:pBdr>
          <w:top w:val="nil"/>
          <w:left w:val="nil"/>
          <w:bottom w:val="nil"/>
          <w:right w:val="nil"/>
          <w:between w:val="nil"/>
        </w:pBdr>
        <w:tabs>
          <w:tab w:val="left" w:pos="1307"/>
        </w:tabs>
        <w:jc w:val="both"/>
      </w:pPr>
      <w:r>
        <w:t>Soutien financier à des tiers au projet (« subvention en cascade ») – coûts réels</w:t>
      </w:r>
    </w:p>
    <w:p w14:paraId="30013D4E" w14:textId="77777777" w:rsidR="007765E3" w:rsidRDefault="007765E3" w:rsidP="007765E3">
      <w:pPr>
        <w:pStyle w:val="Paragraphedeliste"/>
        <w:numPr>
          <w:ilvl w:val="1"/>
          <w:numId w:val="22"/>
        </w:numPr>
        <w:pBdr>
          <w:top w:val="nil"/>
          <w:left w:val="nil"/>
          <w:bottom w:val="nil"/>
          <w:right w:val="nil"/>
          <w:between w:val="nil"/>
        </w:pBdr>
        <w:tabs>
          <w:tab w:val="left" w:pos="1307"/>
        </w:tabs>
        <w:jc w:val="both"/>
      </w:pPr>
      <w:r>
        <w:lastRenderedPageBreak/>
        <w:t>Facturation interne (attention, des règles spécifiques s’appliquent) – coûts unitaires sur la base des pratiques comptables du bénéficiaire</w:t>
      </w:r>
    </w:p>
    <w:p w14:paraId="3A99B400" w14:textId="77777777" w:rsidR="007765E3" w:rsidRPr="00F522B6" w:rsidRDefault="007765E3" w:rsidP="007765E3">
      <w:pPr>
        <w:pStyle w:val="Paragraphedeliste"/>
        <w:numPr>
          <w:ilvl w:val="0"/>
          <w:numId w:val="22"/>
        </w:numPr>
        <w:pBdr>
          <w:top w:val="nil"/>
          <w:left w:val="nil"/>
          <w:bottom w:val="nil"/>
          <w:right w:val="nil"/>
          <w:between w:val="nil"/>
        </w:pBdr>
        <w:tabs>
          <w:tab w:val="left" w:pos="1307"/>
        </w:tabs>
        <w:jc w:val="both"/>
        <w:rPr>
          <w:b/>
          <w:bCs/>
        </w:rPr>
      </w:pPr>
      <w:r w:rsidRPr="00037D79">
        <w:rPr>
          <w:u w:val="single"/>
        </w:rPr>
        <w:t>Coûts indirects</w:t>
      </w:r>
      <w:r>
        <w:t xml:space="preserve"> – taux forfaitaire calculé sur la base de 25% du total des coûts de personnel + coûts d’achats</w:t>
      </w:r>
      <w:r>
        <w:rPr>
          <w:rStyle w:val="Appelnotedebasdep"/>
        </w:rPr>
        <w:footnoteReference w:id="1"/>
      </w:r>
    </w:p>
    <w:p w14:paraId="359B3599" w14:textId="77777777" w:rsidR="007765E3" w:rsidRDefault="007765E3" w:rsidP="007765E3">
      <w:pPr>
        <w:pBdr>
          <w:top w:val="nil"/>
          <w:left w:val="nil"/>
          <w:bottom w:val="nil"/>
          <w:right w:val="nil"/>
          <w:between w:val="nil"/>
        </w:pBdr>
        <w:tabs>
          <w:tab w:val="left" w:pos="1307"/>
        </w:tabs>
        <w:ind w:left="360"/>
        <w:jc w:val="both"/>
      </w:pPr>
    </w:p>
    <w:p w14:paraId="1E640101" w14:textId="77777777" w:rsidR="007765E3" w:rsidRDefault="007765E3" w:rsidP="007765E3">
      <w:pPr>
        <w:pBdr>
          <w:top w:val="nil"/>
          <w:left w:val="nil"/>
          <w:bottom w:val="nil"/>
          <w:right w:val="nil"/>
          <w:between w:val="nil"/>
        </w:pBdr>
        <w:tabs>
          <w:tab w:val="left" w:pos="1307"/>
        </w:tabs>
        <w:ind w:left="360"/>
        <w:jc w:val="both"/>
      </w:pPr>
      <w:r w:rsidRPr="00877C03">
        <w:rPr>
          <w:b/>
          <w:bCs/>
        </w:rPr>
        <w:t>Ces règles sont les règles générales</w:t>
      </w:r>
      <w:r>
        <w:t xml:space="preserve"> qui s’appliquent à Horizon Europe, des règles d’éligibilité différentes peuvent s’appliquer selon les piliers, clusters, ou appels à projet.</w:t>
      </w:r>
    </w:p>
    <w:p w14:paraId="7D8755B5" w14:textId="77777777" w:rsidR="007765E3" w:rsidRDefault="007765E3" w:rsidP="007765E3">
      <w:pPr>
        <w:pBdr>
          <w:top w:val="nil"/>
          <w:left w:val="nil"/>
          <w:bottom w:val="nil"/>
          <w:right w:val="nil"/>
          <w:between w:val="nil"/>
        </w:pBdr>
        <w:tabs>
          <w:tab w:val="left" w:pos="1307"/>
        </w:tabs>
        <w:jc w:val="both"/>
      </w:pPr>
    </w:p>
    <w:p w14:paraId="4BEFF27F" w14:textId="27838A16" w:rsidR="007765E3" w:rsidRDefault="0008070C" w:rsidP="007765E3">
      <w:pPr>
        <w:pStyle w:val="Paragraphedeliste"/>
        <w:numPr>
          <w:ilvl w:val="0"/>
          <w:numId w:val="17"/>
        </w:numPr>
        <w:pBdr>
          <w:top w:val="nil"/>
          <w:left w:val="nil"/>
          <w:bottom w:val="nil"/>
          <w:right w:val="nil"/>
          <w:between w:val="nil"/>
        </w:pBdr>
        <w:tabs>
          <w:tab w:val="left" w:pos="1307"/>
        </w:tabs>
        <w:jc w:val="both"/>
      </w:pPr>
      <w:r>
        <w:rPr>
          <w:b/>
          <w:bCs/>
        </w:rPr>
        <w:t xml:space="preserve">Langue : </w:t>
      </w:r>
      <w:r>
        <w:t>l</w:t>
      </w:r>
      <w:r w:rsidR="007765E3">
        <w:t>e projet peut être rédigé dans toutes les langues officielles de l’Union européenne, mais dans les faits le partenariat international pousse les participants à rédiger en anglais. En cas de rédaction dans une langue autre que l’anglais un résumé en anglais devra être joint.</w:t>
      </w:r>
    </w:p>
    <w:p w14:paraId="4F36C1C9" w14:textId="77777777" w:rsidR="007765E3" w:rsidRDefault="007765E3" w:rsidP="007765E3">
      <w:pPr>
        <w:pBdr>
          <w:top w:val="nil"/>
          <w:left w:val="nil"/>
          <w:bottom w:val="nil"/>
          <w:right w:val="nil"/>
          <w:between w:val="nil"/>
        </w:pBdr>
        <w:tabs>
          <w:tab w:val="left" w:pos="1307"/>
        </w:tabs>
        <w:jc w:val="both"/>
      </w:pPr>
    </w:p>
    <w:p w14:paraId="02B51916" w14:textId="7761274A" w:rsidR="007765E3" w:rsidRDefault="007765E3" w:rsidP="00877C03">
      <w:pPr>
        <w:pStyle w:val="Paragraphedeliste"/>
        <w:numPr>
          <w:ilvl w:val="0"/>
          <w:numId w:val="17"/>
        </w:numPr>
        <w:pBdr>
          <w:top w:val="nil"/>
          <w:left w:val="nil"/>
          <w:bottom w:val="nil"/>
          <w:right w:val="nil"/>
          <w:between w:val="nil"/>
        </w:pBdr>
        <w:tabs>
          <w:tab w:val="left" w:pos="1307"/>
        </w:tabs>
        <w:jc w:val="both"/>
      </w:pPr>
      <w:r w:rsidRPr="00877C03">
        <w:rPr>
          <w:b/>
          <w:bCs/>
        </w:rPr>
        <w:t>Partenariat</w:t>
      </w:r>
      <w:r w:rsidR="0008070C">
        <w:rPr>
          <w:b/>
          <w:bCs/>
        </w:rPr>
        <w:t> :</w:t>
      </w:r>
    </w:p>
    <w:p w14:paraId="78900508" w14:textId="6DACB300" w:rsidR="007765E3" w:rsidRDefault="007765E3" w:rsidP="00877C03">
      <w:pPr>
        <w:numPr>
          <w:ilvl w:val="1"/>
          <w:numId w:val="32"/>
        </w:numPr>
        <w:tabs>
          <w:tab w:val="left" w:pos="1307"/>
        </w:tabs>
        <w:jc w:val="both"/>
      </w:pPr>
      <w:r>
        <w:t xml:space="preserve">Les projets Horizon Europe et plus particulièrement les RIA doivent obligatoirement former </w:t>
      </w:r>
      <w:r w:rsidRPr="00DD17EE">
        <w:rPr>
          <w:b/>
          <w:bCs/>
        </w:rPr>
        <w:t>un partenariat d’au moins trois membres, représentant au moins trois membres du programmes Horizon Europe</w:t>
      </w:r>
      <w:r>
        <w:t xml:space="preserve"> (donc soit trois </w:t>
      </w:r>
      <w:r w:rsidR="00877C03">
        <w:t>États</w:t>
      </w:r>
      <w:r>
        <w:t xml:space="preserve"> membres, soit un </w:t>
      </w:r>
      <w:r w:rsidR="00877C03">
        <w:t>État</w:t>
      </w:r>
      <w:r>
        <w:t xml:space="preserve"> membres et deux </w:t>
      </w:r>
      <w:r w:rsidR="0008070C">
        <w:t>États</w:t>
      </w:r>
      <w:r>
        <w:t xml:space="preserve"> associés, etc</w:t>
      </w:r>
      <w:r w:rsidR="0008070C">
        <w:t>.</w:t>
      </w:r>
      <w:r>
        <w:rPr>
          <w:rStyle w:val="Appelnotedebasdep"/>
        </w:rPr>
        <w:footnoteReference w:id="2"/>
      </w:r>
      <w:r>
        <w:t>)</w:t>
      </w:r>
      <w:r w:rsidR="0008070C">
        <w:t>.</w:t>
      </w:r>
    </w:p>
    <w:p w14:paraId="481DEBE9" w14:textId="4EBF1749" w:rsidR="007765E3" w:rsidRDefault="007765E3" w:rsidP="00877C03">
      <w:pPr>
        <w:numPr>
          <w:ilvl w:val="1"/>
          <w:numId w:val="32"/>
        </w:numPr>
        <w:tabs>
          <w:tab w:val="left" w:pos="1307"/>
        </w:tabs>
        <w:jc w:val="both"/>
      </w:pPr>
      <w:r>
        <w:t xml:space="preserve">Le porteur de projet </w:t>
      </w:r>
      <w:r w:rsidR="0008070C">
        <w:t>d</w:t>
      </w:r>
      <w:r>
        <w:t xml:space="preserve">oit obligatoirement être basé dans un </w:t>
      </w:r>
      <w:r w:rsidR="00877C03">
        <w:t>État</w:t>
      </w:r>
      <w:r>
        <w:t xml:space="preserve"> membre de l’Union européenne. Il doit s’agir d’un acteur pertinent par rapport au sujet traité. Cet acteur peut</w:t>
      </w:r>
      <w:r w:rsidR="0008070C">
        <w:t xml:space="preserve"> </w:t>
      </w:r>
      <w:r>
        <w:t>être un acteur de la recherche (Université, laboratoire etc.), une entreprise, une association, etc.</w:t>
      </w:r>
    </w:p>
    <w:p w14:paraId="3EF018B2" w14:textId="3C496D8B" w:rsidR="007765E3" w:rsidRDefault="007765E3" w:rsidP="00877C03">
      <w:pPr>
        <w:numPr>
          <w:ilvl w:val="1"/>
          <w:numId w:val="32"/>
        </w:numPr>
        <w:tabs>
          <w:tab w:val="left" w:pos="1307"/>
        </w:tabs>
        <w:jc w:val="both"/>
      </w:pPr>
      <w:r>
        <w:t xml:space="preserve">Une </w:t>
      </w:r>
      <w:r w:rsidRPr="0026654F">
        <w:rPr>
          <w:b/>
          <w:bCs/>
        </w:rPr>
        <w:t>vérification de la capacité financière est effectuée, uniquement pour le porteur de projet</w:t>
      </w:r>
      <w:r>
        <w:t>, dès que la subvention demandée est supérieure à 500 000€, sauf si l’organisation coordinatrice est un organisme public, un établissement d’enseignement supérieur, un individu boursier, une organisation internationale garantie par un État membre ou État associé</w:t>
      </w:r>
      <w:r w:rsidR="0008070C">
        <w:t>.</w:t>
      </w:r>
    </w:p>
    <w:p w14:paraId="1BF03058" w14:textId="1D70E2FF" w:rsidR="007765E3" w:rsidRDefault="007765E3" w:rsidP="00877C03">
      <w:pPr>
        <w:numPr>
          <w:ilvl w:val="1"/>
          <w:numId w:val="32"/>
        </w:numPr>
        <w:tabs>
          <w:tab w:val="left" w:pos="1307"/>
        </w:tabs>
        <w:jc w:val="both"/>
      </w:pPr>
      <w:r>
        <w:t>Le programme Horizon Europe est le programme le plus ouvert en terme</w:t>
      </w:r>
      <w:r w:rsidR="0008070C">
        <w:t>s</w:t>
      </w:r>
      <w:r>
        <w:t xml:space="preserve"> de partenariat. Peuvent participer :</w:t>
      </w:r>
    </w:p>
    <w:p w14:paraId="687B64FA" w14:textId="54110D36" w:rsidR="007765E3" w:rsidRDefault="007765E3" w:rsidP="007765E3">
      <w:pPr>
        <w:numPr>
          <w:ilvl w:val="2"/>
          <w:numId w:val="1"/>
        </w:numPr>
        <w:tabs>
          <w:tab w:val="left" w:pos="1307"/>
        </w:tabs>
        <w:jc w:val="both"/>
      </w:pPr>
      <w:r>
        <w:t>Des acteurs issus de l’espace économique européen (liste)</w:t>
      </w:r>
      <w:r w:rsidR="0008070C">
        <w:t>.</w:t>
      </w:r>
    </w:p>
    <w:p w14:paraId="2222B03C" w14:textId="77777777" w:rsidR="0008070C" w:rsidRDefault="007765E3" w:rsidP="0008070C">
      <w:pPr>
        <w:numPr>
          <w:ilvl w:val="2"/>
          <w:numId w:val="1"/>
        </w:numPr>
        <w:tabs>
          <w:tab w:val="left" w:pos="1307"/>
        </w:tabs>
        <w:jc w:val="both"/>
      </w:pPr>
      <w:r>
        <w:t xml:space="preserve">Des acteurs issus des </w:t>
      </w:r>
      <w:r w:rsidR="0008070C">
        <w:t>Pays et Territoires d’Outre-Mer.</w:t>
      </w:r>
    </w:p>
    <w:p w14:paraId="33AF05CC" w14:textId="77777777" w:rsidR="007765E3" w:rsidRDefault="007765E3" w:rsidP="007B486D">
      <w:pPr>
        <w:numPr>
          <w:ilvl w:val="2"/>
          <w:numId w:val="1"/>
        </w:numPr>
        <w:tabs>
          <w:tab w:val="left" w:pos="1307"/>
        </w:tabs>
        <w:jc w:val="both"/>
      </w:pPr>
      <w:r>
        <w:t xml:space="preserve">Des acteurs issus de pays tiers (les « Etats associés »). Ces pays signent un accord avec la Commission pour être considérés comme Etats associés. Ces accords n’ont pas encore été renouvelés pour 2021-2027, en attendant, la Commission considère comme Etats associés la liste des Etats admis pour 2014-2021 (voir liste </w:t>
      </w:r>
      <w:hyperlink r:id="rId17" w:history="1">
        <w:r w:rsidRPr="005C431F">
          <w:rPr>
            <w:rStyle w:val="Lienhypertexte"/>
          </w:rPr>
          <w:t>ici</w:t>
        </w:r>
      </w:hyperlink>
      <w:r>
        <w:t>).</w:t>
      </w:r>
    </w:p>
    <w:p w14:paraId="5C7E3C46" w14:textId="2D34B70C" w:rsidR="007765E3" w:rsidRPr="007110C5" w:rsidRDefault="007765E3" w:rsidP="007765E3">
      <w:pPr>
        <w:numPr>
          <w:ilvl w:val="2"/>
          <w:numId w:val="1"/>
        </w:numPr>
        <w:tabs>
          <w:tab w:val="left" w:pos="1307"/>
        </w:tabs>
        <w:jc w:val="both"/>
      </w:pPr>
      <w:r>
        <w:t>Des acteurs issus des pays en voie de développement, sauf exclusion spécifique mentionnée dans certains appels (la liste peut être trouvée dans les annexes des programmes de travail pluriannuel, à paraitre pour 2021-2022</w:t>
      </w:r>
      <w:r>
        <w:rPr>
          <w:rStyle w:val="Appelnotedebasdep"/>
        </w:rPr>
        <w:footnoteReference w:id="3"/>
      </w:r>
      <w:r w:rsidR="0008070C">
        <w:t>)</w:t>
      </w:r>
      <w:r>
        <w:t>.</w:t>
      </w:r>
    </w:p>
    <w:p w14:paraId="0A87415F" w14:textId="77777777" w:rsidR="0008070C" w:rsidRPr="007110C5" w:rsidRDefault="0008070C" w:rsidP="007765E3">
      <w:pPr>
        <w:pBdr>
          <w:top w:val="nil"/>
          <w:left w:val="nil"/>
          <w:bottom w:val="nil"/>
          <w:right w:val="nil"/>
          <w:between w:val="nil"/>
        </w:pBdr>
        <w:tabs>
          <w:tab w:val="left" w:pos="1307"/>
        </w:tabs>
        <w:jc w:val="both"/>
      </w:pPr>
    </w:p>
    <w:p w14:paraId="7FC515A6" w14:textId="1028AD07" w:rsidR="007765E3" w:rsidRPr="007110C5" w:rsidRDefault="007765E3" w:rsidP="00877C03">
      <w:pPr>
        <w:pStyle w:val="Paragraphedeliste"/>
        <w:numPr>
          <w:ilvl w:val="0"/>
          <w:numId w:val="33"/>
        </w:numPr>
        <w:pBdr>
          <w:top w:val="nil"/>
          <w:left w:val="nil"/>
          <w:bottom w:val="nil"/>
          <w:right w:val="nil"/>
          <w:between w:val="nil"/>
        </w:pBdr>
        <w:tabs>
          <w:tab w:val="left" w:pos="1307"/>
        </w:tabs>
        <w:jc w:val="both"/>
      </w:pPr>
      <w:r w:rsidRPr="00877C03">
        <w:rPr>
          <w:color w:val="000000"/>
        </w:rPr>
        <w:t>Pour le programme Horizon Europe les appels à projets sont publiés selon une fréquence irrégulière : il faut consulter les programmes de travail avec la présentation des calendrier</w:t>
      </w:r>
      <w:r w:rsidR="0008070C">
        <w:rPr>
          <w:color w:val="000000"/>
        </w:rPr>
        <w:t>s</w:t>
      </w:r>
      <w:r w:rsidRPr="00877C03">
        <w:rPr>
          <w:color w:val="000000"/>
        </w:rPr>
        <w:t xml:space="preserve"> d’appels à projet sur les deux années à venir. </w:t>
      </w:r>
      <w:r w:rsidRPr="00877C03">
        <w:rPr>
          <w:b/>
          <w:bCs/>
          <w:color w:val="000000"/>
        </w:rPr>
        <w:t>Un sujet pourra ne faire l’objet que d’un seul appel sur toute la programmation 2021-2027</w:t>
      </w:r>
      <w:r w:rsidRPr="00877C03">
        <w:rPr>
          <w:color w:val="000000"/>
        </w:rPr>
        <w:t xml:space="preserve"> (les thèmes et priorités ne sont pas récurrents, à la différence d’autres programmes comme LIFE, Interreg, etc.)</w:t>
      </w:r>
    </w:p>
    <w:p w14:paraId="46DC7285" w14:textId="77777777" w:rsidR="007765E3" w:rsidRPr="007110C5" w:rsidRDefault="007765E3" w:rsidP="007765E3">
      <w:pPr>
        <w:pBdr>
          <w:top w:val="nil"/>
          <w:left w:val="nil"/>
          <w:bottom w:val="nil"/>
          <w:right w:val="nil"/>
          <w:between w:val="nil"/>
        </w:pBdr>
        <w:tabs>
          <w:tab w:val="left" w:pos="1307"/>
        </w:tabs>
        <w:jc w:val="both"/>
      </w:pPr>
    </w:p>
    <w:p w14:paraId="122243D7" w14:textId="77777777" w:rsidR="007765E3" w:rsidRDefault="007765E3" w:rsidP="00877C03">
      <w:pPr>
        <w:pStyle w:val="Paragraphedeliste"/>
        <w:numPr>
          <w:ilvl w:val="0"/>
          <w:numId w:val="33"/>
        </w:numPr>
        <w:pBdr>
          <w:top w:val="nil"/>
          <w:left w:val="nil"/>
          <w:bottom w:val="nil"/>
          <w:right w:val="nil"/>
          <w:between w:val="nil"/>
        </w:pBdr>
        <w:tabs>
          <w:tab w:val="left" w:pos="1307"/>
        </w:tabs>
        <w:jc w:val="both"/>
      </w:pPr>
      <w:r w:rsidRPr="00877C03">
        <w:rPr>
          <w:b/>
          <w:bCs/>
          <w:color w:val="000000"/>
        </w:rPr>
        <w:t>En termes de sélectivité</w:t>
      </w:r>
      <w:r w:rsidRPr="00877C03">
        <w:rPr>
          <w:color w:val="000000"/>
        </w:rPr>
        <w:t>, le programme Horizon 2020 était assez sélectif (une moyenne de 10 % de sélection, mais chaque pilier et chaque cluster dispose en fait de taux de sélectivité différents, avec une compétitivité accrue pour le 3</w:t>
      </w:r>
      <w:r w:rsidRPr="00877C03">
        <w:rPr>
          <w:color w:val="000000"/>
          <w:vertAlign w:val="superscript"/>
        </w:rPr>
        <w:t>e</w:t>
      </w:r>
      <w:r w:rsidRPr="00877C03">
        <w:rPr>
          <w:color w:val="000000"/>
        </w:rPr>
        <w:t xml:space="preserve"> pilier).</w:t>
      </w:r>
    </w:p>
    <w:p w14:paraId="2E77147A" w14:textId="77777777" w:rsidR="007765E3" w:rsidRDefault="007765E3" w:rsidP="007765E3">
      <w:pPr>
        <w:pBdr>
          <w:top w:val="nil"/>
          <w:left w:val="nil"/>
          <w:bottom w:val="nil"/>
          <w:right w:val="nil"/>
          <w:between w:val="nil"/>
        </w:pBdr>
        <w:tabs>
          <w:tab w:val="left" w:pos="1307"/>
        </w:tabs>
        <w:jc w:val="both"/>
      </w:pPr>
    </w:p>
    <w:p w14:paraId="2959663C" w14:textId="77777777" w:rsidR="007765E3" w:rsidRDefault="007765E3" w:rsidP="00877C03">
      <w:pPr>
        <w:pStyle w:val="Paragraphedeliste"/>
        <w:numPr>
          <w:ilvl w:val="0"/>
          <w:numId w:val="33"/>
        </w:numPr>
        <w:pBdr>
          <w:top w:val="nil"/>
          <w:left w:val="nil"/>
          <w:bottom w:val="nil"/>
          <w:right w:val="nil"/>
          <w:between w:val="nil"/>
        </w:pBdr>
        <w:tabs>
          <w:tab w:val="left" w:pos="1307"/>
        </w:tabs>
        <w:jc w:val="both"/>
      </w:pPr>
      <w:r w:rsidRPr="00877C03">
        <w:rPr>
          <w:b/>
          <w:bCs/>
        </w:rPr>
        <w:t>L’évaluation des projets</w:t>
      </w:r>
      <w:r>
        <w:t xml:space="preserve"> </w:t>
      </w:r>
    </w:p>
    <w:p w14:paraId="65B3E46F" w14:textId="77777777" w:rsidR="007765E3" w:rsidRDefault="007765E3" w:rsidP="007765E3">
      <w:pPr>
        <w:pBdr>
          <w:top w:val="nil"/>
          <w:left w:val="nil"/>
          <w:bottom w:val="nil"/>
          <w:right w:val="nil"/>
          <w:between w:val="nil"/>
        </w:pBdr>
        <w:tabs>
          <w:tab w:val="left" w:pos="1307"/>
        </w:tabs>
        <w:jc w:val="both"/>
      </w:pPr>
    </w:p>
    <w:p w14:paraId="414F71F5" w14:textId="5249D6EF" w:rsidR="007765E3" w:rsidRPr="005D76AF" w:rsidRDefault="007765E3" w:rsidP="007765E3">
      <w:pPr>
        <w:pBdr>
          <w:top w:val="nil"/>
          <w:left w:val="nil"/>
          <w:bottom w:val="nil"/>
          <w:right w:val="nil"/>
          <w:between w:val="nil"/>
        </w:pBdr>
        <w:tabs>
          <w:tab w:val="left" w:pos="1307"/>
        </w:tabs>
        <w:jc w:val="both"/>
      </w:pPr>
      <w:r w:rsidRPr="005D76AF">
        <w:t xml:space="preserve">Les propositions soumises sont évaluées sur la base de deux </w:t>
      </w:r>
      <w:r w:rsidRPr="005D76AF">
        <w:rPr>
          <w:b/>
          <w:bCs/>
        </w:rPr>
        <w:t xml:space="preserve">critères de sélection </w:t>
      </w:r>
      <w:r w:rsidRPr="005D76AF">
        <w:t xml:space="preserve">et de </w:t>
      </w:r>
      <w:r w:rsidRPr="005D76AF">
        <w:rPr>
          <w:b/>
          <w:bCs/>
        </w:rPr>
        <w:t>critères d'</w:t>
      </w:r>
      <w:r w:rsidR="0008070C">
        <w:rPr>
          <w:b/>
          <w:bCs/>
        </w:rPr>
        <w:t>évaluation</w:t>
      </w:r>
      <w:r w:rsidRPr="005D76AF">
        <w:t xml:space="preserve">. </w:t>
      </w:r>
    </w:p>
    <w:p w14:paraId="1FD3929B" w14:textId="77777777" w:rsidR="007765E3" w:rsidRDefault="007765E3" w:rsidP="007765E3">
      <w:pPr>
        <w:pBdr>
          <w:top w:val="nil"/>
          <w:left w:val="nil"/>
          <w:bottom w:val="nil"/>
          <w:right w:val="nil"/>
          <w:between w:val="nil"/>
        </w:pBdr>
        <w:tabs>
          <w:tab w:val="left" w:pos="1307"/>
        </w:tabs>
        <w:jc w:val="both"/>
      </w:pPr>
    </w:p>
    <w:p w14:paraId="12AC0C8B" w14:textId="77777777" w:rsidR="007765E3" w:rsidRPr="005D76AF" w:rsidRDefault="007765E3" w:rsidP="007765E3">
      <w:pPr>
        <w:pBdr>
          <w:top w:val="nil"/>
          <w:left w:val="nil"/>
          <w:bottom w:val="nil"/>
          <w:right w:val="nil"/>
          <w:between w:val="nil"/>
        </w:pBdr>
        <w:tabs>
          <w:tab w:val="left" w:pos="1307"/>
        </w:tabs>
        <w:jc w:val="both"/>
      </w:pPr>
      <w:r w:rsidRPr="005D76AF">
        <w:t xml:space="preserve">Les deux </w:t>
      </w:r>
      <w:r w:rsidRPr="005D76AF">
        <w:rPr>
          <w:b/>
          <w:bCs/>
        </w:rPr>
        <w:t xml:space="preserve">critères de sélection </w:t>
      </w:r>
      <w:r w:rsidRPr="005D76AF">
        <w:t xml:space="preserve">sont la capacité financière du coordinateur et la capacité opérationnelle des participants. </w:t>
      </w:r>
    </w:p>
    <w:p w14:paraId="6D69E7DE" w14:textId="77777777" w:rsidR="007765E3" w:rsidRPr="005D76AF" w:rsidRDefault="007765E3" w:rsidP="007765E3">
      <w:pPr>
        <w:pBdr>
          <w:top w:val="nil"/>
          <w:left w:val="nil"/>
          <w:bottom w:val="nil"/>
          <w:right w:val="nil"/>
          <w:between w:val="nil"/>
        </w:pBdr>
        <w:tabs>
          <w:tab w:val="left" w:pos="1307"/>
        </w:tabs>
        <w:jc w:val="both"/>
      </w:pPr>
      <w:r w:rsidRPr="005D76AF">
        <w:t xml:space="preserve">Pour jauger la capacité opérationnelle des participants, les évaluateurs s’appuieront sur les documents suivants : </w:t>
      </w:r>
    </w:p>
    <w:p w14:paraId="12F11268" w14:textId="77777777" w:rsidR="007765E3" w:rsidRDefault="007765E3" w:rsidP="007765E3">
      <w:pPr>
        <w:pStyle w:val="Paragraphedeliste"/>
        <w:numPr>
          <w:ilvl w:val="0"/>
          <w:numId w:val="22"/>
        </w:numPr>
        <w:pBdr>
          <w:top w:val="nil"/>
          <w:left w:val="nil"/>
          <w:bottom w:val="nil"/>
          <w:right w:val="nil"/>
          <w:between w:val="nil"/>
        </w:pBdr>
        <w:tabs>
          <w:tab w:val="left" w:pos="1307"/>
        </w:tabs>
        <w:jc w:val="both"/>
      </w:pPr>
      <w:r>
        <w:t>U</w:t>
      </w:r>
      <w:r w:rsidRPr="005D76AF">
        <w:t xml:space="preserve">n curriculum vitae ou une description du profil des principales personnes responsables de la mise en œuvre des activités de recherche et/ou d’innovation ; </w:t>
      </w:r>
    </w:p>
    <w:p w14:paraId="455BE2D8" w14:textId="5EEAE6FF" w:rsidR="007765E3" w:rsidRDefault="007765E3" w:rsidP="007765E3">
      <w:pPr>
        <w:pStyle w:val="Paragraphedeliste"/>
        <w:numPr>
          <w:ilvl w:val="0"/>
          <w:numId w:val="22"/>
        </w:numPr>
        <w:pBdr>
          <w:top w:val="nil"/>
          <w:left w:val="nil"/>
          <w:bottom w:val="nil"/>
          <w:right w:val="nil"/>
          <w:between w:val="nil"/>
        </w:pBdr>
        <w:tabs>
          <w:tab w:val="left" w:pos="1307"/>
        </w:tabs>
        <w:jc w:val="both"/>
      </w:pPr>
      <w:r w:rsidRPr="005D76AF">
        <w:t>Une liste de publications, produits et/ou services (5 maximum), ou tout autre accomplissement en lien avec le texte de l’appel à projet</w:t>
      </w:r>
      <w:r w:rsidR="0008070C">
        <w:t>s</w:t>
      </w:r>
      <w:r w:rsidRPr="005D76AF">
        <w:t xml:space="preserve"> ; </w:t>
      </w:r>
    </w:p>
    <w:p w14:paraId="711A41BF" w14:textId="77777777" w:rsidR="007765E3" w:rsidRDefault="007765E3" w:rsidP="007765E3">
      <w:pPr>
        <w:pStyle w:val="Paragraphedeliste"/>
        <w:numPr>
          <w:ilvl w:val="0"/>
          <w:numId w:val="22"/>
        </w:numPr>
        <w:pBdr>
          <w:top w:val="nil"/>
          <w:left w:val="nil"/>
          <w:bottom w:val="nil"/>
          <w:right w:val="nil"/>
          <w:between w:val="nil"/>
        </w:pBdr>
        <w:tabs>
          <w:tab w:val="left" w:pos="1307"/>
        </w:tabs>
        <w:jc w:val="both"/>
      </w:pPr>
      <w:r w:rsidRPr="005D76AF">
        <w:t xml:space="preserve">Une liste des projets et/ou activités en lien avec le sujet de la proposition (5 maximum) ; </w:t>
      </w:r>
    </w:p>
    <w:p w14:paraId="17592EF4" w14:textId="14D8A6CA" w:rsidR="007765E3" w:rsidRDefault="007765E3" w:rsidP="007765E3">
      <w:pPr>
        <w:pStyle w:val="Paragraphedeliste"/>
        <w:numPr>
          <w:ilvl w:val="0"/>
          <w:numId w:val="22"/>
        </w:numPr>
        <w:pBdr>
          <w:top w:val="nil"/>
          <w:left w:val="nil"/>
          <w:bottom w:val="nil"/>
          <w:right w:val="nil"/>
          <w:between w:val="nil"/>
        </w:pBdr>
        <w:tabs>
          <w:tab w:val="left" w:pos="1307"/>
        </w:tabs>
        <w:jc w:val="both"/>
      </w:pPr>
      <w:r w:rsidRPr="005D76AF">
        <w:t>Une description de toute infrastructure ou équipement technique important en lien avec les activités</w:t>
      </w:r>
      <w:r w:rsidR="0008070C">
        <w:t> ;</w:t>
      </w:r>
    </w:p>
    <w:p w14:paraId="536B1624" w14:textId="77777777" w:rsidR="007765E3" w:rsidRPr="005D76AF" w:rsidRDefault="007765E3" w:rsidP="007765E3">
      <w:pPr>
        <w:pStyle w:val="Paragraphedeliste"/>
        <w:numPr>
          <w:ilvl w:val="0"/>
          <w:numId w:val="22"/>
        </w:numPr>
        <w:pBdr>
          <w:top w:val="nil"/>
          <w:left w:val="nil"/>
          <w:bottom w:val="nil"/>
          <w:right w:val="nil"/>
          <w:between w:val="nil"/>
        </w:pBdr>
        <w:tabs>
          <w:tab w:val="left" w:pos="1307"/>
        </w:tabs>
        <w:jc w:val="both"/>
      </w:pPr>
      <w:r w:rsidRPr="005D76AF">
        <w:t xml:space="preserve">Une description des parties tierces qui ne seront pas partenaires dans le projet, mais contribueront à la mise en œuvre de l’action (consulter les fiches sur les parties tierces). </w:t>
      </w:r>
    </w:p>
    <w:p w14:paraId="4E3D3234" w14:textId="77777777" w:rsidR="007765E3" w:rsidRPr="005D76AF" w:rsidRDefault="007765E3" w:rsidP="007765E3">
      <w:pPr>
        <w:pBdr>
          <w:top w:val="nil"/>
          <w:left w:val="nil"/>
          <w:bottom w:val="nil"/>
          <w:right w:val="nil"/>
          <w:between w:val="nil"/>
        </w:pBdr>
        <w:tabs>
          <w:tab w:val="left" w:pos="1307"/>
        </w:tabs>
        <w:jc w:val="both"/>
      </w:pPr>
    </w:p>
    <w:p w14:paraId="1CBBC78A" w14:textId="77777777" w:rsidR="007765E3" w:rsidRDefault="007765E3" w:rsidP="007765E3">
      <w:pPr>
        <w:pBdr>
          <w:top w:val="nil"/>
          <w:left w:val="nil"/>
          <w:bottom w:val="nil"/>
          <w:right w:val="nil"/>
          <w:between w:val="nil"/>
        </w:pBdr>
        <w:tabs>
          <w:tab w:val="left" w:pos="1307"/>
        </w:tabs>
        <w:jc w:val="both"/>
      </w:pPr>
      <w:r w:rsidRPr="005D76AF">
        <w:t xml:space="preserve">Les </w:t>
      </w:r>
      <w:r w:rsidRPr="005D76AF">
        <w:rPr>
          <w:b/>
          <w:bCs/>
        </w:rPr>
        <w:t>critères d’</w:t>
      </w:r>
      <w:r>
        <w:rPr>
          <w:b/>
          <w:bCs/>
        </w:rPr>
        <w:t>évaluation</w:t>
      </w:r>
      <w:r w:rsidRPr="005D76AF">
        <w:rPr>
          <w:b/>
          <w:bCs/>
        </w:rPr>
        <w:t xml:space="preserve"> </w:t>
      </w:r>
      <w:r w:rsidRPr="005D76AF">
        <w:t>sont : l’excellence ; l’impact ; la qualité et l’efficacité de la mise en œuvre.</w:t>
      </w:r>
    </w:p>
    <w:p w14:paraId="17073732" w14:textId="77777777" w:rsidR="007765E3" w:rsidRDefault="007765E3" w:rsidP="007765E3">
      <w:pPr>
        <w:numPr>
          <w:ilvl w:val="1"/>
          <w:numId w:val="1"/>
        </w:numPr>
        <w:pBdr>
          <w:top w:val="nil"/>
          <w:left w:val="nil"/>
          <w:bottom w:val="nil"/>
          <w:right w:val="nil"/>
          <w:between w:val="nil"/>
        </w:pBdr>
        <w:tabs>
          <w:tab w:val="left" w:pos="1307"/>
        </w:tabs>
        <w:jc w:val="both"/>
      </w:pPr>
      <w:r>
        <w:t>Impact (50% de la notation)</w:t>
      </w:r>
    </w:p>
    <w:p w14:paraId="0ADD49DE" w14:textId="77777777" w:rsidR="007765E3" w:rsidRDefault="007765E3" w:rsidP="007765E3">
      <w:pPr>
        <w:numPr>
          <w:ilvl w:val="2"/>
          <w:numId w:val="1"/>
        </w:numPr>
        <w:pBdr>
          <w:top w:val="nil"/>
          <w:left w:val="nil"/>
          <w:bottom w:val="nil"/>
          <w:right w:val="nil"/>
          <w:between w:val="nil"/>
        </w:pBdr>
        <w:tabs>
          <w:tab w:val="left" w:pos="1307"/>
        </w:tabs>
        <w:jc w:val="both"/>
      </w:pPr>
      <w:r>
        <w:t>Améliorer la capacité d'innovation et l'intégration de nouvelles connaissances ;</w:t>
      </w:r>
    </w:p>
    <w:p w14:paraId="66676ED0" w14:textId="77777777" w:rsidR="007765E3" w:rsidRDefault="007765E3" w:rsidP="007765E3">
      <w:pPr>
        <w:numPr>
          <w:ilvl w:val="2"/>
          <w:numId w:val="1"/>
        </w:numPr>
        <w:pBdr>
          <w:top w:val="nil"/>
          <w:left w:val="nil"/>
          <w:bottom w:val="nil"/>
          <w:right w:val="nil"/>
          <w:between w:val="nil"/>
        </w:pBdr>
        <w:tabs>
          <w:tab w:val="left" w:pos="1307"/>
        </w:tabs>
        <w:jc w:val="both"/>
      </w:pPr>
      <w:r>
        <w:t>Renforcer la compétitivité et la croissance des entreprises en développant des innovations répondant aux besoins des marchés européens et mondiaux et, le cas échéant, en proposant ces innovations aux marchés ;</w:t>
      </w:r>
    </w:p>
    <w:p w14:paraId="2912FF00" w14:textId="77777777" w:rsidR="007765E3" w:rsidRDefault="007765E3" w:rsidP="007765E3">
      <w:pPr>
        <w:numPr>
          <w:ilvl w:val="2"/>
          <w:numId w:val="1"/>
        </w:numPr>
        <w:pBdr>
          <w:top w:val="nil"/>
          <w:left w:val="nil"/>
          <w:bottom w:val="nil"/>
          <w:right w:val="nil"/>
          <w:between w:val="nil"/>
        </w:pBdr>
        <w:tabs>
          <w:tab w:val="left" w:pos="1307"/>
        </w:tabs>
        <w:jc w:val="both"/>
      </w:pPr>
      <w:r>
        <w:t xml:space="preserve">Tout autre impact environnemental et social important ; </w:t>
      </w:r>
    </w:p>
    <w:p w14:paraId="58CD69E2" w14:textId="75C76CDB" w:rsidR="007765E3" w:rsidRDefault="007765E3" w:rsidP="007765E3">
      <w:pPr>
        <w:numPr>
          <w:ilvl w:val="2"/>
          <w:numId w:val="1"/>
        </w:numPr>
        <w:pBdr>
          <w:top w:val="nil"/>
          <w:left w:val="nil"/>
          <w:bottom w:val="nil"/>
          <w:right w:val="nil"/>
          <w:between w:val="nil"/>
        </w:pBdr>
        <w:tabs>
          <w:tab w:val="left" w:pos="1307"/>
        </w:tabs>
        <w:jc w:val="both"/>
      </w:pPr>
      <w:r>
        <w:t>Efficacité des mesures proposées pour exploiter et diffuser les résultats du projet (y compris la gestion de</w:t>
      </w:r>
      <w:r w:rsidR="0008070C">
        <w:t xml:space="preserve"> la propriété intellectuelle</w:t>
      </w:r>
      <w:r>
        <w:t>), pour communiquer sur le projet et pour gérer les données de recherche le cas échéant.</w:t>
      </w:r>
    </w:p>
    <w:p w14:paraId="5B63D67F" w14:textId="77777777" w:rsidR="007765E3" w:rsidRDefault="007765E3" w:rsidP="007765E3">
      <w:pPr>
        <w:numPr>
          <w:ilvl w:val="1"/>
          <w:numId w:val="1"/>
        </w:numPr>
        <w:pBdr>
          <w:top w:val="nil"/>
          <w:left w:val="nil"/>
          <w:bottom w:val="nil"/>
          <w:right w:val="nil"/>
          <w:between w:val="nil"/>
        </w:pBdr>
        <w:tabs>
          <w:tab w:val="left" w:pos="1307"/>
        </w:tabs>
        <w:jc w:val="both"/>
      </w:pPr>
      <w:r>
        <w:t>Excellence (25%)</w:t>
      </w:r>
    </w:p>
    <w:p w14:paraId="2028A659" w14:textId="0FE86661" w:rsidR="007765E3" w:rsidRDefault="007765E3" w:rsidP="007765E3">
      <w:pPr>
        <w:numPr>
          <w:ilvl w:val="2"/>
          <w:numId w:val="1"/>
        </w:numPr>
        <w:pBdr>
          <w:top w:val="nil"/>
          <w:left w:val="nil"/>
          <w:bottom w:val="nil"/>
          <w:right w:val="nil"/>
          <w:between w:val="nil"/>
        </w:pBdr>
        <w:tabs>
          <w:tab w:val="left" w:pos="1307"/>
        </w:tabs>
        <w:jc w:val="both"/>
      </w:pPr>
      <w:r w:rsidRPr="005D76AF">
        <w:t>Solidité du</w:t>
      </w:r>
      <w:r>
        <w:t xml:space="preserve"> </w:t>
      </w:r>
      <w:r w:rsidRPr="005D76AF">
        <w:t>concept, y compris</w:t>
      </w:r>
      <w:r>
        <w:t xml:space="preserve"> considérations </w:t>
      </w:r>
      <w:r w:rsidRPr="005D76AF">
        <w:t>transdisciplinaire</w:t>
      </w:r>
      <w:r>
        <w:t xml:space="preserve">s. </w:t>
      </w:r>
    </w:p>
    <w:p w14:paraId="52826080" w14:textId="1C61B604" w:rsidR="007765E3" w:rsidRDefault="007765E3" w:rsidP="007765E3">
      <w:pPr>
        <w:numPr>
          <w:ilvl w:val="2"/>
          <w:numId w:val="1"/>
        </w:numPr>
        <w:pBdr>
          <w:top w:val="nil"/>
          <w:left w:val="nil"/>
          <w:bottom w:val="nil"/>
          <w:right w:val="nil"/>
          <w:between w:val="nil"/>
        </w:pBdr>
        <w:tabs>
          <w:tab w:val="left" w:pos="1307"/>
        </w:tabs>
        <w:jc w:val="both"/>
      </w:pPr>
      <w:r>
        <w:t>Le projet proposé</w:t>
      </w:r>
      <w:r w:rsidRPr="005D76AF">
        <w:t xml:space="preserve"> est ambitieux, a</w:t>
      </w:r>
      <w:r>
        <w:t xml:space="preserve"> un fort </w:t>
      </w:r>
      <w:r w:rsidRPr="005D76AF">
        <w:t>potentiel d'innovatio</w:t>
      </w:r>
      <w:r>
        <w:t>n et va</w:t>
      </w:r>
      <w:r w:rsidRPr="005D76AF">
        <w:t xml:space="preserve"> au-delà de l'état</w:t>
      </w:r>
      <w:r>
        <w:t xml:space="preserve"> </w:t>
      </w:r>
      <w:r w:rsidRPr="005D76AF">
        <w:t>de l'art (par exemple, des objectifs révolutionnaires</w:t>
      </w:r>
      <w:r>
        <w:t>/de rupture</w:t>
      </w:r>
      <w:r w:rsidRPr="005D76AF">
        <w:t>,</w:t>
      </w:r>
      <w:r>
        <w:t xml:space="preserve"> </w:t>
      </w:r>
      <w:r w:rsidRPr="005D76AF">
        <w:t>de nouveaux concepts e</w:t>
      </w:r>
      <w:r>
        <w:t xml:space="preserve">t </w:t>
      </w:r>
      <w:r w:rsidRPr="005D76AF">
        <w:t>approches)</w:t>
      </w:r>
      <w:r w:rsidR="0061196A">
        <w:t>.</w:t>
      </w:r>
    </w:p>
    <w:p w14:paraId="6EBCE2DE" w14:textId="77777777" w:rsidR="007765E3" w:rsidRDefault="007765E3" w:rsidP="007765E3">
      <w:pPr>
        <w:numPr>
          <w:ilvl w:val="1"/>
          <w:numId w:val="1"/>
        </w:numPr>
        <w:pBdr>
          <w:top w:val="nil"/>
          <w:left w:val="nil"/>
          <w:bottom w:val="nil"/>
          <w:right w:val="nil"/>
          <w:between w:val="nil"/>
        </w:pBdr>
        <w:tabs>
          <w:tab w:val="left" w:pos="1307"/>
        </w:tabs>
        <w:jc w:val="both"/>
      </w:pPr>
      <w:r>
        <w:t>Qualité de mise en œuvre (25%)</w:t>
      </w:r>
    </w:p>
    <w:p w14:paraId="5F584CB7" w14:textId="77777777" w:rsidR="007765E3" w:rsidRDefault="007765E3" w:rsidP="007765E3">
      <w:pPr>
        <w:numPr>
          <w:ilvl w:val="2"/>
          <w:numId w:val="1"/>
        </w:numPr>
        <w:pBdr>
          <w:top w:val="nil"/>
          <w:left w:val="nil"/>
          <w:bottom w:val="nil"/>
          <w:right w:val="nil"/>
          <w:between w:val="nil"/>
        </w:pBdr>
        <w:tabs>
          <w:tab w:val="left" w:pos="1307"/>
        </w:tabs>
        <w:jc w:val="both"/>
      </w:pPr>
      <w:r>
        <w:t>Cohérence et efficacité du plan d’action, y compris l'adéquation de la répartition des tâches et des ressources ;</w:t>
      </w:r>
    </w:p>
    <w:p w14:paraId="5984023D" w14:textId="34834CA7" w:rsidR="007765E3" w:rsidRDefault="007765E3" w:rsidP="007765E3">
      <w:pPr>
        <w:numPr>
          <w:ilvl w:val="2"/>
          <w:numId w:val="1"/>
        </w:numPr>
        <w:pBdr>
          <w:top w:val="nil"/>
          <w:left w:val="nil"/>
          <w:bottom w:val="nil"/>
          <w:right w:val="nil"/>
          <w:between w:val="nil"/>
        </w:pBdr>
        <w:tabs>
          <w:tab w:val="left" w:pos="1307"/>
        </w:tabs>
        <w:jc w:val="both"/>
      </w:pPr>
      <w:r>
        <w:t>Complémentarité des participants au sein du consortium (le cas échéant)</w:t>
      </w:r>
      <w:r w:rsidR="0008070C">
        <w:t xml:space="preserve"> </w:t>
      </w:r>
      <w:r>
        <w:t>;</w:t>
      </w:r>
    </w:p>
    <w:p w14:paraId="3856BE5E" w14:textId="77777777" w:rsidR="007765E3" w:rsidRDefault="007765E3" w:rsidP="007765E3">
      <w:pPr>
        <w:numPr>
          <w:ilvl w:val="2"/>
          <w:numId w:val="1"/>
        </w:numPr>
        <w:pBdr>
          <w:top w:val="nil"/>
          <w:left w:val="nil"/>
          <w:bottom w:val="nil"/>
          <w:right w:val="nil"/>
          <w:between w:val="nil"/>
        </w:pBdr>
        <w:tabs>
          <w:tab w:val="left" w:pos="1307"/>
        </w:tabs>
        <w:jc w:val="both"/>
      </w:pPr>
      <w:r>
        <w:t>Adéquation des structures et des procédures de gestion, y compris pour la gestion des risques et de l'innovation.</w:t>
      </w:r>
    </w:p>
    <w:p w14:paraId="72D1FEAD" w14:textId="77777777" w:rsidR="007765E3" w:rsidRDefault="007765E3" w:rsidP="007765E3">
      <w:pPr>
        <w:pBdr>
          <w:top w:val="nil"/>
          <w:left w:val="nil"/>
          <w:bottom w:val="nil"/>
          <w:right w:val="nil"/>
          <w:between w:val="nil"/>
        </w:pBdr>
        <w:tabs>
          <w:tab w:val="left" w:pos="1307"/>
        </w:tabs>
        <w:jc w:val="both"/>
      </w:pPr>
    </w:p>
    <w:p w14:paraId="59FA13A4" w14:textId="7AFA0C64" w:rsidR="007765E3" w:rsidRDefault="007765E3" w:rsidP="007765E3">
      <w:pPr>
        <w:pBdr>
          <w:top w:val="nil"/>
          <w:left w:val="nil"/>
          <w:bottom w:val="nil"/>
          <w:right w:val="nil"/>
          <w:between w:val="nil"/>
        </w:pBdr>
        <w:tabs>
          <w:tab w:val="left" w:pos="1307"/>
        </w:tabs>
        <w:jc w:val="both"/>
      </w:pPr>
      <w:r>
        <w:t>Ces critères sont les critères généraux d’Horizon Europe et ceux qui s’appliquent aux deux appels mentionnés plus haut. Selon les appels à projets d’autres critères et d’autres pondérations peuvent s’appliquer.</w:t>
      </w:r>
    </w:p>
    <w:p w14:paraId="38F87062" w14:textId="77777777" w:rsidR="007765E3" w:rsidRPr="007765E3" w:rsidRDefault="007765E3" w:rsidP="007765E3">
      <w:pPr>
        <w:pBdr>
          <w:top w:val="nil"/>
          <w:left w:val="nil"/>
          <w:bottom w:val="nil"/>
          <w:right w:val="nil"/>
          <w:between w:val="nil"/>
        </w:pBdr>
        <w:tabs>
          <w:tab w:val="left" w:pos="1307"/>
        </w:tabs>
        <w:jc w:val="both"/>
      </w:pPr>
    </w:p>
    <w:p w14:paraId="3F5C968E" w14:textId="743BE621" w:rsidR="0075699C" w:rsidRDefault="0075699C" w:rsidP="00877C03">
      <w:pPr>
        <w:pStyle w:val="Paragraphedeliste"/>
        <w:numPr>
          <w:ilvl w:val="0"/>
          <w:numId w:val="34"/>
        </w:numPr>
        <w:pBdr>
          <w:top w:val="nil"/>
          <w:left w:val="nil"/>
          <w:bottom w:val="nil"/>
          <w:right w:val="nil"/>
          <w:between w:val="nil"/>
        </w:pBdr>
        <w:tabs>
          <w:tab w:val="left" w:pos="1307"/>
        </w:tabs>
        <w:jc w:val="both"/>
      </w:pPr>
      <w:proofErr w:type="spellStart"/>
      <w:r w:rsidRPr="00877C03">
        <w:rPr>
          <w:b/>
          <w:bCs/>
        </w:rPr>
        <w:t>Reporting</w:t>
      </w:r>
      <w:proofErr w:type="spellEnd"/>
      <w:r>
        <w:t> :</w:t>
      </w:r>
    </w:p>
    <w:p w14:paraId="07955264" w14:textId="06867DEE" w:rsidR="0075699C" w:rsidRDefault="0075699C" w:rsidP="0075699C">
      <w:pPr>
        <w:pBdr>
          <w:top w:val="nil"/>
          <w:left w:val="nil"/>
          <w:bottom w:val="nil"/>
          <w:right w:val="nil"/>
          <w:between w:val="nil"/>
        </w:pBdr>
        <w:tabs>
          <w:tab w:val="left" w:pos="1307"/>
        </w:tabs>
        <w:jc w:val="both"/>
      </w:pPr>
    </w:p>
    <w:p w14:paraId="7099BE64" w14:textId="57501D6A" w:rsidR="0075699C" w:rsidRDefault="0075699C" w:rsidP="0075699C">
      <w:pPr>
        <w:pBdr>
          <w:top w:val="nil"/>
          <w:left w:val="nil"/>
          <w:bottom w:val="nil"/>
          <w:right w:val="nil"/>
          <w:between w:val="nil"/>
        </w:pBdr>
        <w:tabs>
          <w:tab w:val="left" w:pos="1307"/>
        </w:tabs>
        <w:jc w:val="both"/>
      </w:pPr>
      <w:r>
        <w:t xml:space="preserve">Le programme Horizon Europe demande plusieurs types de </w:t>
      </w:r>
      <w:proofErr w:type="spellStart"/>
      <w:r>
        <w:t>reporting</w:t>
      </w:r>
      <w:proofErr w:type="spellEnd"/>
      <w:r>
        <w:t> :</w:t>
      </w:r>
    </w:p>
    <w:p w14:paraId="37855E73" w14:textId="3EEF32C5" w:rsidR="0075699C" w:rsidRDefault="0075699C" w:rsidP="0075699C">
      <w:pPr>
        <w:pStyle w:val="Paragraphedeliste"/>
        <w:numPr>
          <w:ilvl w:val="0"/>
          <w:numId w:val="23"/>
        </w:numPr>
        <w:pBdr>
          <w:top w:val="nil"/>
          <w:left w:val="nil"/>
          <w:bottom w:val="nil"/>
          <w:right w:val="nil"/>
          <w:between w:val="nil"/>
        </w:pBdr>
        <w:tabs>
          <w:tab w:val="left" w:pos="1307"/>
        </w:tabs>
        <w:jc w:val="both"/>
      </w:pPr>
      <w:r w:rsidRPr="0075699C">
        <w:t xml:space="preserve">Un </w:t>
      </w:r>
      <w:proofErr w:type="spellStart"/>
      <w:r w:rsidRPr="0075699C">
        <w:t>reporting</w:t>
      </w:r>
      <w:proofErr w:type="spellEnd"/>
      <w:r w:rsidRPr="0075699C">
        <w:t xml:space="preserve"> continu, en ligne (</w:t>
      </w:r>
      <w:r>
        <w:t>livrables, jalons, productions, etc.)</w:t>
      </w:r>
    </w:p>
    <w:p w14:paraId="797B90AC" w14:textId="005B3521" w:rsidR="0075699C" w:rsidRDefault="0075699C" w:rsidP="0075699C">
      <w:pPr>
        <w:pStyle w:val="Paragraphedeliste"/>
        <w:numPr>
          <w:ilvl w:val="0"/>
          <w:numId w:val="23"/>
        </w:numPr>
        <w:pBdr>
          <w:top w:val="nil"/>
          <w:left w:val="nil"/>
          <w:bottom w:val="nil"/>
          <w:right w:val="nil"/>
          <w:between w:val="nil"/>
        </w:pBdr>
        <w:tabs>
          <w:tab w:val="left" w:pos="1307"/>
        </w:tabs>
        <w:jc w:val="both"/>
      </w:pPr>
      <w:r>
        <w:t xml:space="preserve">Des rapports techniques et financiers pour chaque « période de </w:t>
      </w:r>
      <w:proofErr w:type="spellStart"/>
      <w:r>
        <w:t>reporting</w:t>
      </w:r>
      <w:proofErr w:type="spellEnd"/>
      <w:r>
        <w:t> »</w:t>
      </w:r>
      <w:r w:rsidR="002658F9">
        <w:t xml:space="preserve"> (définies dans la Convention de subvention)</w:t>
      </w:r>
    </w:p>
    <w:p w14:paraId="60E99597" w14:textId="00AF7F6D" w:rsidR="0075699C" w:rsidRDefault="0075699C" w:rsidP="0075699C">
      <w:pPr>
        <w:pStyle w:val="Paragraphedeliste"/>
        <w:numPr>
          <w:ilvl w:val="0"/>
          <w:numId w:val="23"/>
        </w:numPr>
        <w:pBdr>
          <w:top w:val="nil"/>
          <w:left w:val="nil"/>
          <w:bottom w:val="nil"/>
          <w:right w:val="nil"/>
          <w:between w:val="nil"/>
        </w:pBdr>
        <w:tabs>
          <w:tab w:val="left" w:pos="1307"/>
        </w:tabs>
        <w:jc w:val="both"/>
      </w:pPr>
      <w:r>
        <w:t>Un rapport technique et financier final, à la fin du projet</w:t>
      </w:r>
      <w:r w:rsidR="0008070C">
        <w:t>.</w:t>
      </w:r>
    </w:p>
    <w:p w14:paraId="61B6B5BB" w14:textId="723C04DF" w:rsidR="0075699C" w:rsidRDefault="0075699C" w:rsidP="0075699C">
      <w:pPr>
        <w:pBdr>
          <w:top w:val="nil"/>
          <w:left w:val="nil"/>
          <w:bottom w:val="nil"/>
          <w:right w:val="nil"/>
          <w:between w:val="nil"/>
        </w:pBdr>
        <w:tabs>
          <w:tab w:val="left" w:pos="1307"/>
        </w:tabs>
        <w:jc w:val="both"/>
      </w:pPr>
    </w:p>
    <w:p w14:paraId="0393CF7C" w14:textId="01B80929" w:rsidR="0075699C" w:rsidRPr="0075699C" w:rsidRDefault="0075699C" w:rsidP="0075699C">
      <w:pPr>
        <w:pBdr>
          <w:top w:val="nil"/>
          <w:left w:val="nil"/>
          <w:bottom w:val="nil"/>
          <w:right w:val="nil"/>
          <w:between w:val="nil"/>
        </w:pBdr>
        <w:tabs>
          <w:tab w:val="left" w:pos="1307"/>
        </w:tabs>
        <w:jc w:val="both"/>
      </w:pPr>
      <w:r>
        <w:t>Les paiements inter</w:t>
      </w:r>
      <w:r w:rsidR="00115F38">
        <w:t>m</w:t>
      </w:r>
      <w:r>
        <w:t>édiaires sont liés à ces rapports</w:t>
      </w:r>
      <w:r w:rsidR="002658F9">
        <w:t xml:space="preserve">. Un premier préfinancement est possible au démarrage du projet, suivi </w:t>
      </w:r>
      <w:r w:rsidR="002D3B15">
        <w:t>d’un ou</w:t>
      </w:r>
      <w:r w:rsidR="002658F9">
        <w:t xml:space="preserve"> deux paiements intermédiaires, sur base des rapports financiers envoyés. L</w:t>
      </w:r>
      <w:r>
        <w:t xml:space="preserve">orsque la Commission européenne approuve les coûts éligibles déclarés sur la période en question, le paiement </w:t>
      </w:r>
      <w:r>
        <w:lastRenderedPageBreak/>
        <w:t xml:space="preserve">intermédiaire est versé au coordinateur dans les 90 jours à compter de la date de réception du rapport. Le montant </w:t>
      </w:r>
      <w:r w:rsidR="002D3B15">
        <w:t>dépend</w:t>
      </w:r>
      <w:r>
        <w:t xml:space="preserve"> de ce qui est fixé par le </w:t>
      </w:r>
      <w:r w:rsidRPr="00877C03">
        <w:rPr>
          <w:i/>
          <w:iCs/>
        </w:rPr>
        <w:t>Grant Agreement</w:t>
      </w:r>
      <w:r>
        <w:t xml:space="preserve"> (ou « Convention de subvention »), avec une limite : </w:t>
      </w:r>
      <w:r w:rsidRPr="002658F9">
        <w:rPr>
          <w:b/>
          <w:bCs/>
        </w:rPr>
        <w:t>le montant total du préfinancement et des paiements intermédiaires ne doit pas dépasser 90% du montant maximum de la subvention</w:t>
      </w:r>
      <w:r>
        <w:t xml:space="preserve"> tel qu’indiqué à l’article 5.1 de la convention de subvention.</w:t>
      </w:r>
    </w:p>
    <w:p w14:paraId="4825C7C7" w14:textId="77777777" w:rsidR="0075699C" w:rsidRPr="0075699C" w:rsidRDefault="0075699C" w:rsidP="0075699C">
      <w:pPr>
        <w:pBdr>
          <w:top w:val="nil"/>
          <w:left w:val="nil"/>
          <w:bottom w:val="nil"/>
          <w:right w:val="nil"/>
          <w:between w:val="nil"/>
        </w:pBdr>
        <w:tabs>
          <w:tab w:val="left" w:pos="1307"/>
        </w:tabs>
        <w:jc w:val="both"/>
      </w:pPr>
    </w:p>
    <w:p w14:paraId="7CCEACD0" w14:textId="47C36077" w:rsidR="008D3448" w:rsidRPr="008D3448" w:rsidRDefault="00CB413C" w:rsidP="00877C03">
      <w:pPr>
        <w:pStyle w:val="Paragraphedeliste"/>
        <w:numPr>
          <w:ilvl w:val="0"/>
          <w:numId w:val="34"/>
        </w:numPr>
        <w:pBdr>
          <w:top w:val="nil"/>
          <w:left w:val="nil"/>
          <w:bottom w:val="nil"/>
          <w:right w:val="nil"/>
          <w:between w:val="nil"/>
        </w:pBdr>
        <w:tabs>
          <w:tab w:val="left" w:pos="1307"/>
        </w:tabs>
        <w:jc w:val="both"/>
      </w:pPr>
      <w:r w:rsidRPr="00877C03">
        <w:rPr>
          <w:b/>
          <w:bCs/>
          <w:color w:val="000000"/>
        </w:rPr>
        <w:t>Un exemple de Grant Agreement</w:t>
      </w:r>
      <w:r w:rsidR="008D3448" w:rsidRPr="00877C03">
        <w:rPr>
          <w:b/>
          <w:bCs/>
          <w:color w:val="000000"/>
        </w:rPr>
        <w:t>/Convention de subvention</w:t>
      </w:r>
      <w:r w:rsidRPr="00DD2E80">
        <w:rPr>
          <w:color w:val="000000"/>
        </w:rPr>
        <w:t xml:space="preserve"> peut être trouvé </w:t>
      </w:r>
      <w:hyperlink r:id="rId18" w:history="1">
        <w:r w:rsidRPr="00CB413C">
          <w:rPr>
            <w:rStyle w:val="Lienhypertexte"/>
          </w:rPr>
          <w:t>ici</w:t>
        </w:r>
      </w:hyperlink>
      <w:r w:rsidR="00877C03">
        <w:rPr>
          <w:rStyle w:val="Appelnotedebasdep"/>
          <w:color w:val="0000FF" w:themeColor="hyperlink"/>
          <w:sz w:val="16"/>
          <w:szCs w:val="16"/>
          <w:u w:val="single"/>
        </w:rPr>
        <w:footnoteReference w:id="4"/>
      </w:r>
      <w:r w:rsidRPr="00DD2E80">
        <w:rPr>
          <w:color w:val="000000"/>
        </w:rPr>
        <w:t xml:space="preserve">. Le plateforme </w:t>
      </w:r>
      <w:proofErr w:type="spellStart"/>
      <w:r w:rsidRPr="00DD2E80">
        <w:rPr>
          <w:color w:val="000000"/>
        </w:rPr>
        <w:t>Funding&amp;Tenders</w:t>
      </w:r>
      <w:proofErr w:type="spellEnd"/>
      <w:r w:rsidRPr="00DD2E80">
        <w:rPr>
          <w:color w:val="000000"/>
        </w:rPr>
        <w:t xml:space="preserve"> regroupe tous les documents administratifs utiles pour ce programme, notamment via la page « </w:t>
      </w:r>
      <w:hyperlink r:id="rId19" w:history="1">
        <w:r w:rsidRPr="00CB413C">
          <w:rPr>
            <w:rStyle w:val="Lienhypertexte"/>
          </w:rPr>
          <w:t>Reference documents </w:t>
        </w:r>
      </w:hyperlink>
      <w:r w:rsidRPr="00DD2E80">
        <w:rPr>
          <w:color w:val="000000"/>
        </w:rPr>
        <w:t>».</w:t>
      </w:r>
    </w:p>
    <w:p w14:paraId="07C8A859" w14:textId="77777777" w:rsidR="008D3448" w:rsidRDefault="008D3448" w:rsidP="008D3448">
      <w:pPr>
        <w:pBdr>
          <w:top w:val="nil"/>
          <w:left w:val="nil"/>
          <w:bottom w:val="nil"/>
          <w:right w:val="nil"/>
          <w:between w:val="nil"/>
        </w:pBdr>
        <w:tabs>
          <w:tab w:val="left" w:pos="1307"/>
        </w:tabs>
        <w:jc w:val="both"/>
      </w:pPr>
    </w:p>
    <w:p w14:paraId="2A3B6E92" w14:textId="33D49F6B" w:rsidR="008D3448" w:rsidRDefault="008D3448" w:rsidP="00877C03">
      <w:pPr>
        <w:pStyle w:val="Paragraphedeliste"/>
        <w:numPr>
          <w:ilvl w:val="0"/>
          <w:numId w:val="34"/>
        </w:numPr>
        <w:pBdr>
          <w:top w:val="nil"/>
          <w:left w:val="nil"/>
          <w:bottom w:val="nil"/>
          <w:right w:val="nil"/>
          <w:between w:val="nil"/>
        </w:pBdr>
        <w:tabs>
          <w:tab w:val="left" w:pos="1307"/>
        </w:tabs>
        <w:jc w:val="both"/>
      </w:pPr>
      <w:r w:rsidRPr="00877C03">
        <w:rPr>
          <w:b/>
          <w:bCs/>
        </w:rPr>
        <w:t>Trois types d’audit</w:t>
      </w:r>
      <w:r>
        <w:t xml:space="preserve"> sont possibles dans le programme Horizon Europe, pour plus d’information sur chaque type d’audit voir </w:t>
      </w:r>
      <w:hyperlink r:id="rId20" w:history="1">
        <w:r w:rsidRPr="008D3448">
          <w:rPr>
            <w:rStyle w:val="Lienhypertexte"/>
          </w:rPr>
          <w:t>cette fiche</w:t>
        </w:r>
      </w:hyperlink>
      <w:r>
        <w:t>.</w:t>
      </w:r>
    </w:p>
    <w:p w14:paraId="7103CE7F" w14:textId="77777777" w:rsidR="008D3448" w:rsidRPr="008D3448" w:rsidRDefault="008D3448" w:rsidP="008D3448">
      <w:pPr>
        <w:pBdr>
          <w:top w:val="nil"/>
          <w:left w:val="nil"/>
          <w:bottom w:val="nil"/>
          <w:right w:val="nil"/>
          <w:between w:val="nil"/>
        </w:pBdr>
        <w:tabs>
          <w:tab w:val="left" w:pos="1307"/>
        </w:tabs>
        <w:jc w:val="both"/>
      </w:pPr>
    </w:p>
    <w:p w14:paraId="5B83C9A8" w14:textId="64F1E916" w:rsidR="004E2FEF" w:rsidRDefault="009014CE" w:rsidP="00877C03">
      <w:pPr>
        <w:pStyle w:val="Paragraphedeliste"/>
        <w:numPr>
          <w:ilvl w:val="0"/>
          <w:numId w:val="34"/>
        </w:numPr>
        <w:pBdr>
          <w:top w:val="nil"/>
          <w:left w:val="nil"/>
          <w:bottom w:val="nil"/>
          <w:right w:val="nil"/>
          <w:between w:val="nil"/>
        </w:pBdr>
        <w:tabs>
          <w:tab w:val="left" w:pos="1307"/>
        </w:tabs>
        <w:jc w:val="both"/>
      </w:pPr>
      <w:r w:rsidRPr="00877C03">
        <w:rPr>
          <w:color w:val="000000"/>
        </w:rPr>
        <w:t xml:space="preserve">Le </w:t>
      </w:r>
      <w:r w:rsidRPr="00877C03">
        <w:rPr>
          <w:b/>
          <w:bCs/>
          <w:color w:val="000000"/>
        </w:rPr>
        <w:t>principe des aides d’Etat</w:t>
      </w:r>
      <w:r w:rsidRPr="00877C03">
        <w:rPr>
          <w:color w:val="000000"/>
        </w:rPr>
        <w:t xml:space="preserve"> ne s’appliquent pas aux fonds Horizon Europe.</w:t>
      </w:r>
    </w:p>
    <w:p w14:paraId="20C5B37F" w14:textId="77777777" w:rsidR="004E2FEF" w:rsidRDefault="004E2FEF" w:rsidP="004E2FEF">
      <w:pPr>
        <w:pBdr>
          <w:top w:val="nil"/>
          <w:left w:val="nil"/>
          <w:bottom w:val="nil"/>
          <w:right w:val="nil"/>
          <w:between w:val="nil"/>
        </w:pBdr>
        <w:tabs>
          <w:tab w:val="left" w:pos="1307"/>
        </w:tabs>
        <w:ind w:left="360"/>
        <w:jc w:val="both"/>
      </w:pPr>
    </w:p>
    <w:p w14:paraId="00000034" w14:textId="5CDD18DC" w:rsidR="00FA2CE0" w:rsidRDefault="00F30E04">
      <w:pPr>
        <w:tabs>
          <w:tab w:val="left" w:pos="1307"/>
        </w:tabs>
        <w:jc w:val="both"/>
      </w:pPr>
      <w:r>
        <w:t>Les questions administratives et financières sont traitées par le PCN (Point de Contact National) dédié à ces questions. Des fiches explicatives sont disponibles sur un grand nombre de point</w:t>
      </w:r>
      <w:r w:rsidR="009014CE">
        <w:t>s</w:t>
      </w:r>
      <w:r>
        <w:t xml:space="preserve"> sur </w:t>
      </w:r>
      <w:hyperlink r:id="rId21" w:anchor="regle-financiere" w:history="1">
        <w:r w:rsidRPr="00F30E04">
          <w:rPr>
            <w:rStyle w:val="Lienhypertexte"/>
          </w:rPr>
          <w:t>cette page</w:t>
        </w:r>
      </w:hyperlink>
      <w:r w:rsidR="00877C03">
        <w:rPr>
          <w:rStyle w:val="Appelnotedebasdep"/>
        </w:rPr>
        <w:footnoteReference w:id="5"/>
      </w:r>
      <w:r>
        <w:t>.</w:t>
      </w:r>
    </w:p>
    <w:p w14:paraId="00000035" w14:textId="77777777" w:rsidR="00CC781C" w:rsidRDefault="008F7158">
      <w:pPr>
        <w:pStyle w:val="Titre1"/>
        <w:ind w:firstLine="360"/>
      </w:pPr>
      <w:r>
        <w:t>Exemples de projet</w:t>
      </w:r>
    </w:p>
    <w:p w14:paraId="00000036" w14:textId="3B1DF7A0" w:rsidR="00CC781C" w:rsidRDefault="00CC781C">
      <w:pPr>
        <w:tabs>
          <w:tab w:val="left" w:pos="1307"/>
        </w:tabs>
        <w:jc w:val="both"/>
      </w:pPr>
    </w:p>
    <w:p w14:paraId="07B19A35" w14:textId="77B9CB69" w:rsidR="00FD47F3" w:rsidRDefault="00FD47F3">
      <w:pPr>
        <w:tabs>
          <w:tab w:val="left" w:pos="1307"/>
        </w:tabs>
        <w:jc w:val="both"/>
      </w:pPr>
      <w:r w:rsidRPr="00FD47F3">
        <w:t>Attention : ces exemples sont tirés du programme H2020. Le programme Horizon Europe ayant une structure différente, les appels présentés ici peuvent ne pas se retrouver dans le nouveau programme. Il s’agit ici avant tout de donner quelques exemples de ce à quoi un projet « Horizon Europe » ressemble, et donner quelques pistes de réflexion.</w:t>
      </w:r>
    </w:p>
    <w:p w14:paraId="5C000D8F" w14:textId="77777777" w:rsidR="00266EA7" w:rsidRPr="00266EA7" w:rsidRDefault="00266EA7" w:rsidP="00266EA7">
      <w:pPr>
        <w:tabs>
          <w:tab w:val="left" w:pos="1307"/>
        </w:tabs>
        <w:jc w:val="both"/>
      </w:pPr>
    </w:p>
    <w:p w14:paraId="09150224" w14:textId="1A86208F"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266EA7">
        <w:rPr>
          <w:b/>
          <w:bCs/>
        </w:rPr>
        <w:t>Exemple n°</w:t>
      </w:r>
      <w:r w:rsidR="007755D9">
        <w:rPr>
          <w:b/>
          <w:bCs/>
        </w:rPr>
        <w:t>1</w:t>
      </w:r>
      <w:r w:rsidRPr="00266EA7">
        <w:rPr>
          <w:b/>
          <w:bCs/>
        </w:rPr>
        <w:t> :</w:t>
      </w:r>
    </w:p>
    <w:p w14:paraId="05FFD4BB" w14:textId="612018E5"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rsidR="00F84101">
        <w:t>Université de Belgrade</w:t>
      </w:r>
      <w:r w:rsidR="000944F4">
        <w:t xml:space="preserve"> (SR)</w:t>
      </w:r>
    </w:p>
    <w:p w14:paraId="04E5F8C7" w14:textId="05C48E4B" w:rsidR="00F84101"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F84101">
        <w:rPr>
          <w:u w:val="single"/>
        </w:rPr>
        <w:t>Titre :</w:t>
      </w:r>
      <w:r w:rsidRPr="00F84101">
        <w:t xml:space="preserve"> </w:t>
      </w:r>
      <w:r w:rsidR="00EB0702" w:rsidRPr="00EB0702">
        <w:t xml:space="preserve">IMPTOX - Une plateforme analytique innovante pour étudier l'effet et la toxicité des micro et </w:t>
      </w:r>
      <w:proofErr w:type="spellStart"/>
      <w:r w:rsidR="00EB0702" w:rsidRPr="00EB0702">
        <w:t>nanoplastiques</w:t>
      </w:r>
      <w:proofErr w:type="spellEnd"/>
      <w:r w:rsidR="00EB0702" w:rsidRPr="00EB0702">
        <w:t xml:space="preserve"> (MNP) combinés à des contaminants environnementaux</w:t>
      </w:r>
    </w:p>
    <w:p w14:paraId="635A5E41" w14:textId="3F160C78" w:rsidR="00266EA7" w:rsidRDefault="00D00138"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Pr>
          <w:u w:val="single"/>
        </w:rPr>
        <w:t>Partenariat :</w:t>
      </w:r>
      <w:r w:rsidRPr="00D00138">
        <w:t xml:space="preserve"> 11 bénéficiaires</w:t>
      </w:r>
      <w:r w:rsidR="00721323">
        <w:t xml:space="preserve"> : </w:t>
      </w:r>
      <w:r w:rsidR="00721323" w:rsidRPr="00721323">
        <w:t xml:space="preserve">équipe multidisciplinaire d'universités, d'instituts de recherche, de petites et moyennes entreprises de Serbie, de Belgique, d'Autriche, de Suède, de France, de Croatie, d'Italie et de Suisse </w:t>
      </w:r>
      <w:r w:rsidR="00721323">
        <w:t>+</w:t>
      </w:r>
      <w:r w:rsidR="00721323" w:rsidRPr="00721323">
        <w:t xml:space="preserve"> scientifiques du campus sud-coréen de l'Université de Gand.</w:t>
      </w:r>
    </w:p>
    <w:p w14:paraId="71E5CEBA" w14:textId="27BFC9D1" w:rsidR="00D00138" w:rsidRPr="000249CA" w:rsidRDefault="00D00138"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gramStart"/>
      <w:r w:rsidRPr="000249CA">
        <w:rPr>
          <w:u w:val="single"/>
          <w:lang w:val="en-US"/>
        </w:rPr>
        <w:t>Appel :</w:t>
      </w:r>
      <w:proofErr w:type="gramEnd"/>
      <w:r w:rsidR="000249CA" w:rsidRPr="000249CA">
        <w:rPr>
          <w:u w:val="single"/>
          <w:lang w:val="en-US"/>
        </w:rPr>
        <w:t xml:space="preserve"> </w:t>
      </w:r>
      <w:r w:rsidR="000249CA" w:rsidRPr="000249CA">
        <w:rPr>
          <w:lang w:val="en-US"/>
        </w:rPr>
        <w:t>SC1-BHC-36-2020 - Micro and nano-plastics in our environment: Understanding exposures and impacts on human health</w:t>
      </w:r>
    </w:p>
    <w:p w14:paraId="1CDEBC55" w14:textId="6DF18703"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D00138">
        <w:t>avril 2021 à mars 2025</w:t>
      </w:r>
    </w:p>
    <w:p w14:paraId="27EBBEC1" w14:textId="5950A8EC"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rsidR="00F84101">
        <w:t>6.1 millions €</w:t>
      </w:r>
    </w:p>
    <w:p w14:paraId="6E3457D4" w14:textId="1A042424" w:rsidR="000D353A" w:rsidRDefault="002C36CA" w:rsidP="000D353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Projet visant à </w:t>
      </w:r>
      <w:r w:rsidR="000D353A">
        <w:t xml:space="preserve">comprendre les risques pour la santé des particules microplastiques et </w:t>
      </w:r>
      <w:proofErr w:type="spellStart"/>
      <w:r w:rsidR="000D353A">
        <w:t>nanoplastiques</w:t>
      </w:r>
      <w:proofErr w:type="spellEnd"/>
      <w:r w:rsidR="000D353A">
        <w:t xml:space="preserve"> (MNP) qui contaminent les aliments et l’environnement. </w:t>
      </w:r>
      <w:r>
        <w:t>U</w:t>
      </w:r>
      <w:r w:rsidR="000D353A">
        <w:t>n consortium composé de 12 partenaires de 8 pays européens a été formé</w:t>
      </w:r>
      <w:r>
        <w:t xml:space="preserve"> pour étudier </w:t>
      </w:r>
      <w:r w:rsidR="000D353A">
        <w:t xml:space="preserve">le rôle complexe des microplastiques et des </w:t>
      </w:r>
      <w:proofErr w:type="spellStart"/>
      <w:r w:rsidR="000D353A">
        <w:t>nanoplastiques</w:t>
      </w:r>
      <w:proofErr w:type="spellEnd"/>
      <w:r w:rsidR="000D353A">
        <w:t xml:space="preserve"> combiné aux contaminants environnementaux sur la sécurité alimentaire et la santé humaine, en mettant l’accent sur l’allergie et l’asthme. </w:t>
      </w:r>
    </w:p>
    <w:p w14:paraId="691A5AAC" w14:textId="77777777" w:rsidR="000D353A" w:rsidRDefault="000D353A" w:rsidP="000D353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41A34445" w14:textId="3EBBD178" w:rsidR="0017175C" w:rsidRDefault="00540B0F" w:rsidP="000D353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L’</w:t>
      </w:r>
      <w:r w:rsidR="000D353A">
        <w:t xml:space="preserve">objectif est de créer une plateforme transdisciplinaire qui puisse, en concevant des approches analytiques, déterminer l’ampleur du problème dans l’environnement et notre santé. </w:t>
      </w:r>
      <w:r w:rsidR="002C36CA">
        <w:t>Le projet va donc évaluer</w:t>
      </w:r>
      <w:r w:rsidR="000D353A">
        <w:t xml:space="preserve"> l’influence de l’exposition par ingestion et inhalation de </w:t>
      </w:r>
      <w:r w:rsidR="000D353A">
        <w:lastRenderedPageBreak/>
        <w:t>MNP contaminés par des métaux, des allergènes, des bactéries pathogènes et des toxines sur les réponses allergiques.</w:t>
      </w:r>
    </w:p>
    <w:p w14:paraId="465FC189" w14:textId="62906F8C" w:rsidR="00721323" w:rsidRDefault="00721323" w:rsidP="000D353A">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357A07DE" w14:textId="21D30758" w:rsidR="00266EA7" w:rsidRPr="0088308B" w:rsidRDefault="000B3D25" w:rsidP="006D2F6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2" w:history="1">
        <w:r w:rsidR="00266EA7" w:rsidRPr="0088308B">
          <w:rPr>
            <w:color w:val="0000FF" w:themeColor="hyperlink"/>
            <w:u w:val="single"/>
          </w:rPr>
          <w:t>Site web 1</w:t>
        </w:r>
      </w:hyperlink>
    </w:p>
    <w:p w14:paraId="258C9DCD" w14:textId="77777777" w:rsidR="00266EA7" w:rsidRPr="0088308B" w:rsidRDefault="00266EA7" w:rsidP="00266EA7">
      <w:pPr>
        <w:tabs>
          <w:tab w:val="left" w:pos="1307"/>
        </w:tabs>
        <w:jc w:val="both"/>
      </w:pPr>
    </w:p>
    <w:p w14:paraId="1E8E8642" w14:textId="77777777" w:rsidR="00266EA7" w:rsidRPr="0088308B" w:rsidRDefault="00266EA7" w:rsidP="00266EA7">
      <w:pPr>
        <w:tabs>
          <w:tab w:val="left" w:pos="1307"/>
        </w:tabs>
        <w:jc w:val="both"/>
      </w:pPr>
    </w:p>
    <w:p w14:paraId="5CC16213" w14:textId="16242E0D" w:rsidR="00266EA7" w:rsidRPr="0088308B"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88308B">
        <w:rPr>
          <w:b/>
          <w:bCs/>
        </w:rPr>
        <w:t>Exemple n°</w:t>
      </w:r>
      <w:r w:rsidR="007755D9">
        <w:rPr>
          <w:b/>
          <w:bCs/>
        </w:rPr>
        <w:t>2</w:t>
      </w:r>
      <w:r w:rsidRPr="0088308B">
        <w:rPr>
          <w:b/>
          <w:bCs/>
        </w:rPr>
        <w:t> :</w:t>
      </w:r>
    </w:p>
    <w:p w14:paraId="01DC536A" w14:textId="1138FB51"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Porteur de projet :</w:t>
      </w:r>
      <w:r w:rsidRPr="00266EA7">
        <w:t xml:space="preserve"> </w:t>
      </w:r>
      <w:r w:rsidR="00BD7ECF" w:rsidRPr="00BD7ECF">
        <w:t>EFFICIENCE MARKETING</w:t>
      </w:r>
      <w:r w:rsidR="00BD7ECF">
        <w:t xml:space="preserve"> (FR)</w:t>
      </w:r>
    </w:p>
    <w:p w14:paraId="7C78BB2F" w14:textId="308E6E99" w:rsidR="00266EA7" w:rsidRPr="000944F4"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spellStart"/>
      <w:proofErr w:type="gramStart"/>
      <w:r w:rsidRPr="000944F4">
        <w:rPr>
          <w:u w:val="single"/>
          <w:lang w:val="en-US"/>
        </w:rPr>
        <w:t>Titre</w:t>
      </w:r>
      <w:proofErr w:type="spellEnd"/>
      <w:r w:rsidRPr="000944F4">
        <w:rPr>
          <w:u w:val="single"/>
          <w:lang w:val="en-US"/>
        </w:rPr>
        <w:t> :</w:t>
      </w:r>
      <w:proofErr w:type="gramEnd"/>
      <w:r w:rsidRPr="000944F4">
        <w:rPr>
          <w:lang w:val="en-US"/>
        </w:rPr>
        <w:t xml:space="preserve"> </w:t>
      </w:r>
      <w:proofErr w:type="spellStart"/>
      <w:r w:rsidR="00BD7ECF">
        <w:rPr>
          <w:lang w:val="en-US"/>
        </w:rPr>
        <w:t>IAQSense</w:t>
      </w:r>
      <w:proofErr w:type="spellEnd"/>
      <w:r w:rsidR="00BD7ECF">
        <w:rPr>
          <w:lang w:val="en-US"/>
        </w:rPr>
        <w:t xml:space="preserve"> - </w:t>
      </w:r>
      <w:r w:rsidR="00BD7ECF" w:rsidRPr="00BD7ECF">
        <w:rPr>
          <w:lang w:val="en-US"/>
        </w:rPr>
        <w:t>Nanotechnology based gas multispectral sensing system for environmental control and protection</w:t>
      </w:r>
    </w:p>
    <w:p w14:paraId="3EB1E453" w14:textId="730E6AFF" w:rsid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7258CB">
        <w:rPr>
          <w:u w:val="single"/>
        </w:rPr>
        <w:t>Contact</w:t>
      </w:r>
      <w:r w:rsidR="007A19B4">
        <w:rPr>
          <w:u w:val="single"/>
        </w:rPr>
        <w:t xml:space="preserve"> </w:t>
      </w:r>
      <w:r w:rsidRPr="007258CB">
        <w:rPr>
          <w:u w:val="single"/>
        </w:rPr>
        <w:t>:</w:t>
      </w:r>
      <w:r w:rsidRPr="007258CB">
        <w:t xml:space="preserve"> </w:t>
      </w:r>
      <w:r w:rsidR="00BD7ECF" w:rsidRPr="00BD7ECF">
        <w:t>01 40 95 90 80</w:t>
      </w:r>
      <w:r w:rsidR="00BD7ECF">
        <w:t xml:space="preserve"> ; </w:t>
      </w:r>
      <w:hyperlink r:id="rId23" w:history="1">
        <w:r w:rsidR="00BD7ECF" w:rsidRPr="00BD7ECF">
          <w:rPr>
            <w:rStyle w:val="Lienhypertexte"/>
          </w:rPr>
          <w:t>Mail de contact</w:t>
        </w:r>
      </w:hyperlink>
    </w:p>
    <w:p w14:paraId="260AC0A2" w14:textId="77777777" w:rsidR="00441E79" w:rsidRPr="00AC4963" w:rsidRDefault="00441E79" w:rsidP="00441E7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Pr>
          <w:u w:val="single"/>
        </w:rPr>
        <w:t>Partenariat :</w:t>
      </w:r>
      <w:r>
        <w:t xml:space="preserve"> </w:t>
      </w:r>
      <w:r w:rsidRPr="00AC4963">
        <w:t>4 PME, 3 industriels, 3 instituts de recherche.</w:t>
      </w:r>
    </w:p>
    <w:p w14:paraId="4991246F" w14:textId="4B12534E"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rsidR="00BD7ECF">
        <w:t>septembre 2013 à août 2016</w:t>
      </w:r>
    </w:p>
    <w:p w14:paraId="602F9FD2" w14:textId="30D235CA"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Référence du projet :</w:t>
      </w:r>
      <w:r w:rsidRPr="00266EA7">
        <w:t xml:space="preserve"> </w:t>
      </w:r>
      <w:proofErr w:type="gramStart"/>
      <w:r w:rsidR="00BD7ECF" w:rsidRPr="00BD7ECF">
        <w:t>ID:</w:t>
      </w:r>
      <w:proofErr w:type="gramEnd"/>
      <w:r w:rsidR="00BD7ECF" w:rsidRPr="00BD7ECF">
        <w:t xml:space="preserve"> 604325</w:t>
      </w:r>
    </w:p>
    <w:p w14:paraId="1E1331E7" w14:textId="06B5708E" w:rsidR="00266EA7" w:rsidRPr="00266EA7" w:rsidRDefault="00266EA7"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Subvention UE :</w:t>
      </w:r>
      <w:r w:rsidRPr="00266EA7">
        <w:t xml:space="preserve"> </w:t>
      </w:r>
      <w:r w:rsidR="00B11ABF">
        <w:t>3.4 millions</w:t>
      </w:r>
      <w:r w:rsidR="007A19B4">
        <w:t xml:space="preserve"> €</w:t>
      </w:r>
      <w:r w:rsidR="00B11ABF">
        <w:t xml:space="preserve"> sur 4.9 millions</w:t>
      </w:r>
      <w:r w:rsidR="007A19B4">
        <w:t xml:space="preserve"> €</w:t>
      </w:r>
      <w:r w:rsidR="00B11ABF">
        <w:t xml:space="preserve"> de budget total</w:t>
      </w:r>
    </w:p>
    <w:p w14:paraId="222E7DBE" w14:textId="77777777" w:rsidR="00AC4963" w:rsidRPr="00AC4963" w:rsidRDefault="00AC4963" w:rsidP="00AC49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roofErr w:type="spellStart"/>
      <w:r w:rsidRPr="00AC4963">
        <w:t>IAQSense</w:t>
      </w:r>
      <w:proofErr w:type="spellEnd"/>
      <w:r w:rsidRPr="00AC4963">
        <w:t xml:space="preserve"> se concentre sur la R&amp;D pour développer une nouvelle nanotechnologie basée sur un système de capteurs innovant, miniaturisé, à faible coût pour les capteurs produits en masse.</w:t>
      </w:r>
    </w:p>
    <w:p w14:paraId="06CCC2F8" w14:textId="21190146" w:rsidR="00AC4963" w:rsidRPr="00AC4963" w:rsidRDefault="00AC4963" w:rsidP="00AC49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C4963">
        <w:t xml:space="preserve">Le projet </w:t>
      </w:r>
      <w:proofErr w:type="spellStart"/>
      <w:r w:rsidRPr="00AC4963">
        <w:t>IAQSense</w:t>
      </w:r>
      <w:proofErr w:type="spellEnd"/>
      <w:r w:rsidRPr="00AC4963">
        <w:t xml:space="preserve"> caractérisera, surveillera et améliorera la QAI</w:t>
      </w:r>
      <w:r>
        <w:t xml:space="preserve"> (Qualité de l’air intérieur)</w:t>
      </w:r>
      <w:r w:rsidRPr="00AC4963">
        <w:t xml:space="preserve"> d'une manière innovante. Pour élargir le champ de détection, le système de capteurs comprend au total 3 technologies brevetées avec détection de biomolécules et nanotechnologies liées à la sécurité.</w:t>
      </w:r>
    </w:p>
    <w:p w14:paraId="54133458" w14:textId="77777777" w:rsidR="00AC4963" w:rsidRDefault="00AC4963" w:rsidP="00AC4963">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C4963">
        <w:t>Les objectifs d'</w:t>
      </w:r>
      <w:proofErr w:type="spellStart"/>
      <w:r w:rsidRPr="00AC4963">
        <w:t>IAQsense</w:t>
      </w:r>
      <w:proofErr w:type="spellEnd"/>
      <w:r w:rsidRPr="00AC4963">
        <w:t xml:space="preserve"> sont de développer des systèmes de capteurs et d'atteindre </w:t>
      </w:r>
      <w:r>
        <w:t xml:space="preserve">le </w:t>
      </w:r>
      <w:r w:rsidRPr="00AC4963">
        <w:t>TRL6</w:t>
      </w:r>
      <w:r>
        <w:t xml:space="preserve"> </w:t>
      </w:r>
      <w:r w:rsidRPr="00AC4963">
        <w:t xml:space="preserve">et de valider ces systèmes et leur impact dans des environnements réels (bâtiment, santé, scénarios de dangers). </w:t>
      </w:r>
    </w:p>
    <w:p w14:paraId="097F3E4A" w14:textId="5A37A2DC" w:rsidR="0017175C" w:rsidRPr="00AC4963" w:rsidRDefault="00AC4963" w:rsidP="00441E7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AC4963">
        <w:t>Les développements incluent un circuit intégré pour le traitement des modèles de gaz en temps réel avec une architecture spéciale pour une faible consommation d'énergie et une gestion de l'énergie ; essai et validation</w:t>
      </w:r>
      <w:r w:rsidR="007A19B4">
        <w:t xml:space="preserve"> </w:t>
      </w:r>
      <w:r w:rsidRPr="00AC4963">
        <w:t>; modèles numériques prédictifs</w:t>
      </w:r>
      <w:r w:rsidR="007A19B4">
        <w:t xml:space="preserve"> </w:t>
      </w:r>
      <w:r w:rsidRPr="00AC4963">
        <w:t>; mise en œuvre dans les bâtiments ; préparation à l'industrialisation.</w:t>
      </w:r>
    </w:p>
    <w:p w14:paraId="212C7952" w14:textId="77777777" w:rsidR="0017175C" w:rsidRDefault="0017175C" w:rsidP="00266EA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p>
    <w:p w14:paraId="194BE356" w14:textId="0333CA48" w:rsidR="00266EA7" w:rsidRPr="00266EA7" w:rsidRDefault="000B3D25" w:rsidP="00BD7ECF">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4" w:history="1">
        <w:r w:rsidR="00266EA7" w:rsidRPr="00BD7ECF">
          <w:rPr>
            <w:rStyle w:val="Lienhypertexte"/>
          </w:rPr>
          <w:t>Site web</w:t>
        </w:r>
      </w:hyperlink>
    </w:p>
    <w:p w14:paraId="0F5D1CA2" w14:textId="76BBAF2B" w:rsidR="00266EA7" w:rsidRDefault="00266EA7" w:rsidP="00266EA7">
      <w:pPr>
        <w:pBdr>
          <w:top w:val="nil"/>
          <w:left w:val="nil"/>
          <w:bottom w:val="nil"/>
          <w:right w:val="nil"/>
          <w:between w:val="nil"/>
        </w:pBdr>
        <w:tabs>
          <w:tab w:val="left" w:pos="1307"/>
        </w:tabs>
        <w:jc w:val="both"/>
      </w:pPr>
    </w:p>
    <w:p w14:paraId="2B9266DB" w14:textId="2D3BF7CE"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266EA7">
        <w:rPr>
          <w:b/>
          <w:bCs/>
        </w:rPr>
        <w:t>Exemple n°</w:t>
      </w:r>
      <w:r w:rsidR="007A19B4">
        <w:rPr>
          <w:b/>
          <w:bCs/>
        </w:rPr>
        <w:t>3</w:t>
      </w:r>
      <w:r w:rsidRPr="00266EA7">
        <w:rPr>
          <w:b/>
          <w:bCs/>
        </w:rPr>
        <w:t> :</w:t>
      </w:r>
    </w:p>
    <w:p w14:paraId="2A80ACBD"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rPr>
      </w:pPr>
      <w:r w:rsidRPr="00266EA7">
        <w:rPr>
          <w:u w:val="single"/>
        </w:rPr>
        <w:t>Porteur de projet :</w:t>
      </w:r>
      <w:r w:rsidRPr="00266EA7">
        <w:t xml:space="preserve"> </w:t>
      </w:r>
      <w:r>
        <w:t>Université de Dublin (IR)</w:t>
      </w:r>
    </w:p>
    <w:p w14:paraId="256F8596"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lang w:val="en-US"/>
        </w:rPr>
      </w:pPr>
      <w:proofErr w:type="spellStart"/>
      <w:proofErr w:type="gramStart"/>
      <w:r w:rsidRPr="00266EA7">
        <w:rPr>
          <w:u w:val="single"/>
          <w:lang w:val="en-US"/>
        </w:rPr>
        <w:t>Titre</w:t>
      </w:r>
      <w:proofErr w:type="spellEnd"/>
      <w:r w:rsidRPr="00266EA7">
        <w:rPr>
          <w:u w:val="single"/>
          <w:lang w:val="en-US"/>
        </w:rPr>
        <w:t> :</w:t>
      </w:r>
      <w:proofErr w:type="gramEnd"/>
      <w:r w:rsidRPr="00266EA7">
        <w:rPr>
          <w:lang w:val="en-US"/>
        </w:rPr>
        <w:t xml:space="preserve"> </w:t>
      </w:r>
      <w:proofErr w:type="spellStart"/>
      <w:r w:rsidRPr="00D027C7">
        <w:rPr>
          <w:lang w:val="en-US"/>
        </w:rPr>
        <w:t>iSCAPE</w:t>
      </w:r>
      <w:proofErr w:type="spellEnd"/>
      <w:r w:rsidRPr="00D027C7">
        <w:rPr>
          <w:lang w:val="en-US"/>
        </w:rPr>
        <w:t xml:space="preserve"> (Improving the Smart Control of Air Pollution in Europe)</w:t>
      </w:r>
      <w:r>
        <w:rPr>
          <w:lang w:val="en-US"/>
        </w:rPr>
        <w:t xml:space="preserve"> - </w:t>
      </w:r>
      <w:r w:rsidRPr="006226D6">
        <w:rPr>
          <w:lang w:val="en-US"/>
        </w:rPr>
        <w:t>689954</w:t>
      </w:r>
    </w:p>
    <w:p w14:paraId="42648470"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Contact </w:t>
      </w:r>
      <w:r w:rsidRPr="00266EA7">
        <w:t>:</w:t>
      </w:r>
      <w:r>
        <w:t xml:space="preserve"> </w:t>
      </w:r>
      <w:hyperlink r:id="rId25" w:history="1">
        <w:r w:rsidRPr="00C60783">
          <w:rPr>
            <w:rStyle w:val="Lienhypertexte"/>
          </w:rPr>
          <w:t>https://www.iscapeproject.eu/contact-us/</w:t>
        </w:r>
      </w:hyperlink>
      <w:r>
        <w:t xml:space="preserve"> </w:t>
      </w:r>
    </w:p>
    <w:p w14:paraId="25399854" w14:textId="77777777" w:rsidR="007755D9" w:rsidRPr="00B53A03"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B53A03">
        <w:rPr>
          <w:u w:val="single"/>
        </w:rPr>
        <w:t>Partenariat :</w:t>
      </w:r>
      <w:r w:rsidRPr="00B53A03">
        <w:t xml:space="preserve"> 14 bénéficiaires, cf. </w:t>
      </w:r>
      <w:hyperlink r:id="rId26" w:history="1">
        <w:r w:rsidRPr="00B53A03">
          <w:rPr>
            <w:rStyle w:val="Lienhypertexte"/>
          </w:rPr>
          <w:t>page projet</w:t>
        </w:r>
      </w:hyperlink>
    </w:p>
    <w:p w14:paraId="2D95879D"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rPr>
          <w:u w:val="single"/>
          <w:lang w:val="en-US"/>
        </w:rPr>
      </w:pPr>
      <w:proofErr w:type="gramStart"/>
      <w:r w:rsidRPr="00804BF3">
        <w:rPr>
          <w:u w:val="single"/>
          <w:lang w:val="en-US"/>
        </w:rPr>
        <w:t>Appel :</w:t>
      </w:r>
      <w:proofErr w:type="gramEnd"/>
      <w:r w:rsidRPr="00804BF3">
        <w:rPr>
          <w:u w:val="single"/>
          <w:lang w:val="en-US"/>
        </w:rPr>
        <w:t xml:space="preserve"> </w:t>
      </w:r>
      <w:r w:rsidRPr="00804BF3">
        <w:rPr>
          <w:lang w:val="en-US"/>
        </w:rPr>
        <w:t>SC5-04-2015 - Improving the air quality and reducing the carbon footprint of European cities</w:t>
      </w:r>
      <w:r>
        <w:rPr>
          <w:lang w:val="en-US"/>
        </w:rPr>
        <w:t>*</w:t>
      </w:r>
    </w:p>
    <w:p w14:paraId="5C80553F"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266EA7">
        <w:rPr>
          <w:u w:val="single"/>
        </w:rPr>
        <w:t>Dates :</w:t>
      </w:r>
      <w:r w:rsidRPr="00266EA7">
        <w:t xml:space="preserve"> </w:t>
      </w:r>
      <w:r>
        <w:t>septembre 2016 à décembre 2019</w:t>
      </w:r>
    </w:p>
    <w:p w14:paraId="4253291A"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266EA7">
        <w:rPr>
          <w:u w:val="single"/>
        </w:rPr>
        <w:t>Budget :</w:t>
      </w:r>
      <w:r w:rsidRPr="00266EA7">
        <w:t xml:space="preserve"> </w:t>
      </w:r>
      <w:r>
        <w:t>5.85 millions €</w:t>
      </w:r>
    </w:p>
    <w:p w14:paraId="0B5CB4C6" w14:textId="77777777" w:rsidR="007755D9"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CC4E55">
        <w:t xml:space="preserve">Le projet a travaillé sur l'intégration et l'avancement du contrôle de la qualité de l'air et des émissions de carbone dans les villes européennes dans </w:t>
      </w:r>
      <w:r>
        <w:t>un</w:t>
      </w:r>
      <w:r w:rsidRPr="00CC4E55">
        <w:t xml:space="preserve"> contexte d</w:t>
      </w:r>
      <w:r>
        <w:t>e changement climatique,</w:t>
      </w:r>
      <w:r w:rsidRPr="00CC4E55">
        <w:t xml:space="preserve"> grâce à l'élaboration de stratégies de dépollution durables et passives de la pollution atmosphérique, d'interventions politiques et d'initiatives de changement de</w:t>
      </w:r>
      <w:r>
        <w:t>s</w:t>
      </w:r>
      <w:r w:rsidRPr="00CC4E55">
        <w:t xml:space="preserve"> comportement</w:t>
      </w:r>
      <w:r>
        <w:t>s</w:t>
      </w:r>
      <w:r w:rsidRPr="00CC4E55">
        <w:t>.</w:t>
      </w:r>
    </w:p>
    <w:p w14:paraId="7E8FB9BC" w14:textId="77777777" w:rsidR="007755D9"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6AD56F22" w14:textId="77777777" w:rsidR="007755D9"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t xml:space="preserve">Grâce à l'approche des Living </w:t>
      </w:r>
      <w:proofErr w:type="spellStart"/>
      <w:r>
        <w:t>Labs</w:t>
      </w:r>
      <w:proofErr w:type="spellEnd"/>
      <w:r>
        <w:t xml:space="preserve">, l'équipe a déployé un réseau de capteurs de qualité de l'air et météorologiques (à la fois fixes et mobiles) et évalué les bénéfices attendus des </w:t>
      </w:r>
      <w:r>
        <w:lastRenderedPageBreak/>
        <w:t>interventions à l'échelle du quartier et de la ville, allant de la quantification de la concentration de polluants à l'exposition.</w:t>
      </w:r>
    </w:p>
    <w:p w14:paraId="191565B6" w14:textId="77777777" w:rsidR="007755D9"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64EBC26B" w14:textId="77777777" w:rsidR="007755D9"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roofErr w:type="spellStart"/>
      <w:r>
        <w:t>iSCAPE</w:t>
      </w:r>
      <w:proofErr w:type="spellEnd"/>
      <w:r>
        <w:t xml:space="preserve"> a résumé le concept de « villes intelligentes » en encourageant l'utilisation de capteurs à faible coût et en engageant les citoyens dans l'utilisation de processus de solutions alternatives aux problèmes environnementaux. Le projet a soutenu le développement urbain durable en partageant les résultats avec les décideurs et les planificateurs à l'aide de cas tests locaux, et en fournissant des preuves scientifiques des solutions prêtes à l'emploi menant potentiellement à des interventions opérationnelles en temps réel.</w:t>
      </w:r>
    </w:p>
    <w:p w14:paraId="438E71C4" w14:textId="77777777" w:rsidR="007755D9" w:rsidRPr="00266EA7" w:rsidRDefault="007755D9"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p>
    <w:p w14:paraId="4AAF3F73" w14:textId="64C7DE5E" w:rsidR="007755D9" w:rsidRPr="00266EA7" w:rsidRDefault="000B3D25" w:rsidP="007755D9">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27" w:history="1">
        <w:r w:rsidR="007755D9" w:rsidRPr="00266EA7">
          <w:rPr>
            <w:rStyle w:val="Lienhypertexte"/>
          </w:rPr>
          <w:t>Site web</w:t>
        </w:r>
      </w:hyperlink>
    </w:p>
    <w:p w14:paraId="4021F10D" w14:textId="4AD64334" w:rsidR="007755D9" w:rsidRPr="00123887" w:rsidRDefault="007755D9" w:rsidP="007755D9">
      <w:pPr>
        <w:tabs>
          <w:tab w:val="left" w:pos="1307"/>
        </w:tabs>
        <w:jc w:val="both"/>
        <w:rPr>
          <w:i/>
          <w:iCs/>
          <w:sz w:val="20"/>
          <w:szCs w:val="20"/>
        </w:rPr>
      </w:pPr>
      <w:r w:rsidRPr="00123887">
        <w:rPr>
          <w:i/>
          <w:iCs/>
          <w:sz w:val="20"/>
          <w:szCs w:val="20"/>
        </w:rPr>
        <w:t>*</w:t>
      </w:r>
      <w:r>
        <w:rPr>
          <w:i/>
          <w:iCs/>
          <w:sz w:val="20"/>
          <w:szCs w:val="20"/>
        </w:rPr>
        <w:t>Exemple tiré du cluster 5 (SC5).</w:t>
      </w:r>
    </w:p>
    <w:p w14:paraId="0000003A" w14:textId="77777777" w:rsidR="00CC781C" w:rsidRDefault="008F7158">
      <w:pPr>
        <w:pStyle w:val="Titre1"/>
        <w:ind w:firstLine="360"/>
      </w:pPr>
      <w:r>
        <w:t>Informations pratiques</w:t>
      </w:r>
    </w:p>
    <w:p w14:paraId="77CD658A" w14:textId="77777777" w:rsidR="007A19B4" w:rsidRDefault="007A19B4">
      <w:pPr>
        <w:tabs>
          <w:tab w:val="left" w:pos="1307"/>
        </w:tabs>
        <w:jc w:val="both"/>
      </w:pPr>
    </w:p>
    <w:p w14:paraId="0094E8CB" w14:textId="77777777" w:rsidR="0004324E" w:rsidRDefault="0004324E" w:rsidP="00877C03">
      <w:pPr>
        <w:pStyle w:val="Paragraphedeliste"/>
        <w:numPr>
          <w:ilvl w:val="0"/>
          <w:numId w:val="34"/>
        </w:numPr>
        <w:tabs>
          <w:tab w:val="left" w:pos="1307"/>
        </w:tabs>
        <w:jc w:val="both"/>
      </w:pPr>
      <w:r>
        <w:t>Des points de contacts nationaux (PCN) existent pour ce programme, et peuvent être contacté en cas de question ou de besoin de conseil. Ces PCN sont spécialisés par thématique transversale, par cluster, ou par instrument : PCN questions juridiques et financières ; PCN Santé ; PCN Fission ; PCN transports ; etc.</w:t>
      </w:r>
    </w:p>
    <w:p w14:paraId="6BB362A6" w14:textId="77777777" w:rsidR="0004324E" w:rsidRDefault="0004324E" w:rsidP="0004324E">
      <w:pPr>
        <w:tabs>
          <w:tab w:val="left" w:pos="1307"/>
        </w:tabs>
        <w:ind w:left="360"/>
        <w:jc w:val="both"/>
      </w:pPr>
      <w:r>
        <w:t xml:space="preserve">La liste complète est disponible </w:t>
      </w:r>
      <w:hyperlink r:id="rId28" w:history="1">
        <w:r>
          <w:rPr>
            <w:rStyle w:val="Lienhypertexte"/>
          </w:rPr>
          <w:t>ici</w:t>
        </w:r>
      </w:hyperlink>
      <w:r>
        <w:t>.</w:t>
      </w:r>
    </w:p>
    <w:p w14:paraId="5BDC6F44" w14:textId="77777777" w:rsidR="0004324E" w:rsidRDefault="0004324E" w:rsidP="0004324E">
      <w:pPr>
        <w:tabs>
          <w:tab w:val="left" w:pos="1307"/>
        </w:tabs>
        <w:ind w:left="360"/>
        <w:jc w:val="both"/>
        <w:rPr>
          <w:color w:val="000000"/>
        </w:rPr>
      </w:pPr>
    </w:p>
    <w:p w14:paraId="32A57DEA" w14:textId="77777777" w:rsidR="0004324E" w:rsidRDefault="0004324E" w:rsidP="0004324E">
      <w:pPr>
        <w:pStyle w:val="Paragraphedeliste"/>
        <w:numPr>
          <w:ilvl w:val="0"/>
          <w:numId w:val="30"/>
        </w:numPr>
        <w:tabs>
          <w:tab w:val="left" w:pos="1307"/>
        </w:tabs>
        <w:jc w:val="both"/>
        <w:rPr>
          <w:rFonts w:asciiTheme="majorHAnsi" w:hAnsiTheme="majorHAnsi" w:cstheme="majorHAnsi"/>
        </w:rPr>
      </w:pPr>
      <w:r>
        <w:rPr>
          <w:rFonts w:asciiTheme="majorHAnsi" w:hAnsiTheme="majorHAnsi" w:cstheme="majorHAnsi"/>
        </w:rPr>
        <w:t xml:space="preserve">Les dates des différents appels sont disponibles dans le programme de travail, disponible </w:t>
      </w:r>
      <w:hyperlink r:id="rId29" w:history="1">
        <w:r>
          <w:rPr>
            <w:rStyle w:val="Lienhypertexte"/>
            <w:rFonts w:asciiTheme="majorHAnsi" w:hAnsiTheme="majorHAnsi" w:cstheme="majorHAnsi"/>
          </w:rPr>
          <w:t>ici</w:t>
        </w:r>
      </w:hyperlink>
      <w:r>
        <w:rPr>
          <w:rFonts w:asciiTheme="majorHAnsi" w:hAnsiTheme="majorHAnsi" w:cstheme="majorHAnsi"/>
        </w:rPr>
        <w:t>. Les deux appels à projets « Qualité de l’air intérieur » et « Impact du changement climatique sur la santé » ont une date limite de soumission au 21 septembre 2021 (pour un dossier de 45 pages).</w:t>
      </w:r>
    </w:p>
    <w:p w14:paraId="61E56FF1" w14:textId="77777777" w:rsidR="007A19B4" w:rsidRDefault="007A19B4" w:rsidP="00877C03">
      <w:pPr>
        <w:pStyle w:val="Paragraphedeliste"/>
        <w:tabs>
          <w:tab w:val="left" w:pos="1307"/>
        </w:tabs>
        <w:ind w:left="360"/>
        <w:jc w:val="both"/>
        <w:rPr>
          <w:rFonts w:asciiTheme="majorHAnsi" w:hAnsiTheme="majorHAnsi" w:cstheme="majorHAnsi"/>
        </w:rPr>
      </w:pPr>
    </w:p>
    <w:p w14:paraId="11DC374D" w14:textId="10427DEC" w:rsidR="0004324E" w:rsidRDefault="0004324E" w:rsidP="0004324E">
      <w:pPr>
        <w:pStyle w:val="Paragraphedeliste"/>
        <w:numPr>
          <w:ilvl w:val="0"/>
          <w:numId w:val="30"/>
        </w:numPr>
        <w:tabs>
          <w:tab w:val="left" w:pos="1307"/>
        </w:tabs>
        <w:jc w:val="both"/>
        <w:rPr>
          <w:rFonts w:asciiTheme="majorHAnsi" w:hAnsiTheme="majorHAnsi" w:cstheme="majorHAnsi"/>
        </w:rPr>
      </w:pPr>
      <w:r>
        <w:rPr>
          <w:rFonts w:asciiTheme="majorHAnsi" w:hAnsiTheme="majorHAnsi" w:cstheme="majorHAnsi"/>
        </w:rPr>
        <w:t>Aucun appel sur ces sujets n’est prévu en 2022. Il est possible que des appels soit prévus dans le programme de travail 2023-2024.</w:t>
      </w:r>
    </w:p>
    <w:p w14:paraId="48424EC7" w14:textId="77777777" w:rsidR="0004324E" w:rsidRDefault="0004324E" w:rsidP="0004324E">
      <w:pPr>
        <w:tabs>
          <w:tab w:val="left" w:pos="1307"/>
        </w:tabs>
        <w:jc w:val="both"/>
        <w:rPr>
          <w:rFonts w:asciiTheme="majorHAnsi" w:hAnsiTheme="majorHAnsi" w:cstheme="majorHAnsi"/>
        </w:rPr>
      </w:pPr>
    </w:p>
    <w:p w14:paraId="32D4FEE9" w14:textId="4AC39D78" w:rsidR="0004324E" w:rsidRDefault="0004324E" w:rsidP="0004324E">
      <w:pPr>
        <w:pStyle w:val="Paragraphedeliste"/>
        <w:numPr>
          <w:ilvl w:val="0"/>
          <w:numId w:val="30"/>
        </w:numPr>
        <w:tabs>
          <w:tab w:val="left" w:pos="1307"/>
        </w:tabs>
        <w:jc w:val="both"/>
        <w:rPr>
          <w:rFonts w:asciiTheme="majorHAnsi" w:hAnsiTheme="majorHAnsi" w:cstheme="majorHAnsi"/>
        </w:rPr>
      </w:pPr>
      <w:r>
        <w:rPr>
          <w:rFonts w:asciiTheme="majorHAnsi" w:hAnsiTheme="majorHAnsi" w:cstheme="majorHAnsi"/>
        </w:rPr>
        <w:t>La longueur du dossier pour les projets RIA est de 45 pages (attention, les pages supplémentaires sont simplement coupées et non transmises à l’évaluateur). Il peut cependant exister des exceptions selon les topics, et le nombre de pages peut monter à 60 ou 70 pages. Pour connaitre le nombre de pages exactes il faut consulter les règles propres à votre appel à projet dans le programme de travail spécifique au Cluster 1 (</w:t>
      </w:r>
      <w:hyperlink r:id="rId30" w:history="1">
        <w:r>
          <w:rPr>
            <w:rStyle w:val="Lienhypertexte"/>
            <w:rFonts w:asciiTheme="majorHAnsi" w:hAnsiTheme="majorHAnsi" w:cstheme="majorHAnsi"/>
          </w:rPr>
          <w:t>disponible ici</w:t>
        </w:r>
      </w:hyperlink>
      <w:r>
        <w:rPr>
          <w:rFonts w:asciiTheme="majorHAnsi" w:hAnsiTheme="majorHAnsi" w:cstheme="majorHAnsi"/>
        </w:rPr>
        <w:t>)</w:t>
      </w:r>
      <w:r w:rsidR="00877C03">
        <w:rPr>
          <w:rStyle w:val="Appelnotedebasdep"/>
          <w:rFonts w:asciiTheme="majorHAnsi" w:hAnsiTheme="majorHAnsi" w:cstheme="majorHAnsi"/>
        </w:rPr>
        <w:footnoteReference w:id="6"/>
      </w:r>
      <w:r w:rsidR="00877C03">
        <w:rPr>
          <w:rFonts w:asciiTheme="majorHAnsi" w:hAnsiTheme="majorHAnsi" w:cstheme="majorHAnsi"/>
        </w:rPr>
        <w:t>.</w:t>
      </w:r>
    </w:p>
    <w:p w14:paraId="30440996" w14:textId="77777777" w:rsidR="0004324E" w:rsidRDefault="0004324E" w:rsidP="0004324E">
      <w:pPr>
        <w:tabs>
          <w:tab w:val="left" w:pos="1307"/>
        </w:tabs>
        <w:jc w:val="both"/>
        <w:rPr>
          <w:rFonts w:asciiTheme="majorHAnsi" w:hAnsiTheme="majorHAnsi" w:cstheme="majorHAnsi"/>
        </w:rPr>
      </w:pPr>
    </w:p>
    <w:p w14:paraId="3D308A45" w14:textId="77777777" w:rsidR="0004324E" w:rsidRPr="00877C03" w:rsidRDefault="0004324E" w:rsidP="00877C03">
      <w:pPr>
        <w:pStyle w:val="Paragraphedeliste"/>
        <w:numPr>
          <w:ilvl w:val="0"/>
          <w:numId w:val="30"/>
        </w:numPr>
        <w:tabs>
          <w:tab w:val="left" w:pos="1307"/>
        </w:tabs>
        <w:jc w:val="both"/>
        <w:rPr>
          <w:rFonts w:asciiTheme="majorHAnsi" w:hAnsiTheme="majorHAnsi" w:cstheme="majorHAnsi"/>
        </w:rPr>
      </w:pPr>
      <w:r w:rsidRPr="00877C03">
        <w:rPr>
          <w:rFonts w:asciiTheme="majorHAnsi" w:hAnsiTheme="majorHAnsi" w:cstheme="majorHAnsi"/>
        </w:rPr>
        <w:t xml:space="preserve">La plateforme </w:t>
      </w:r>
      <w:hyperlink r:id="rId31" w:history="1">
        <w:proofErr w:type="spellStart"/>
        <w:r w:rsidRPr="00DD2E80">
          <w:rPr>
            <w:rStyle w:val="Lienhypertexte"/>
            <w:rFonts w:asciiTheme="majorHAnsi" w:hAnsiTheme="majorHAnsi" w:cstheme="majorHAnsi"/>
          </w:rPr>
          <w:t>Funding&amp;Tenders</w:t>
        </w:r>
        <w:proofErr w:type="spellEnd"/>
      </w:hyperlink>
      <w:r w:rsidRPr="00877C03">
        <w:rPr>
          <w:rFonts w:asciiTheme="majorHAnsi" w:hAnsiTheme="majorHAnsi" w:cstheme="majorHAnsi"/>
        </w:rPr>
        <w:t xml:space="preserve"> regroupe un grand nombre d’éléments intéressants à consulter :</w:t>
      </w:r>
    </w:p>
    <w:p w14:paraId="0A355D8D" w14:textId="77777777" w:rsidR="0004324E" w:rsidRDefault="0004324E" w:rsidP="0004324E">
      <w:pPr>
        <w:pStyle w:val="Paragraphedeliste"/>
        <w:numPr>
          <w:ilvl w:val="0"/>
          <w:numId w:val="31"/>
        </w:numPr>
        <w:tabs>
          <w:tab w:val="left" w:pos="1307"/>
        </w:tabs>
        <w:jc w:val="both"/>
        <w:rPr>
          <w:rFonts w:asciiTheme="majorHAnsi" w:hAnsiTheme="majorHAnsi" w:cstheme="majorHAnsi"/>
        </w:rPr>
      </w:pPr>
      <w:r>
        <w:rPr>
          <w:rFonts w:asciiTheme="majorHAnsi" w:hAnsiTheme="majorHAnsi" w:cstheme="majorHAnsi"/>
        </w:rPr>
        <w:t>Les documents de travail (programme de travail, trames de réponse, etc.)</w:t>
      </w:r>
    </w:p>
    <w:p w14:paraId="3C528D97" w14:textId="77777777" w:rsidR="0004324E" w:rsidRDefault="0004324E" w:rsidP="0004324E">
      <w:pPr>
        <w:pStyle w:val="Paragraphedeliste"/>
        <w:numPr>
          <w:ilvl w:val="0"/>
          <w:numId w:val="31"/>
        </w:numPr>
        <w:tabs>
          <w:tab w:val="left" w:pos="1307"/>
        </w:tabs>
        <w:jc w:val="both"/>
        <w:rPr>
          <w:rFonts w:asciiTheme="majorHAnsi" w:hAnsiTheme="majorHAnsi" w:cstheme="majorHAnsi"/>
        </w:rPr>
      </w:pPr>
      <w:r>
        <w:rPr>
          <w:rFonts w:asciiTheme="majorHAnsi" w:hAnsiTheme="majorHAnsi" w:cstheme="majorHAnsi"/>
        </w:rPr>
        <w:t>Les appels clos, à venir, et en cours</w:t>
      </w:r>
    </w:p>
    <w:p w14:paraId="460EA981" w14:textId="77777777" w:rsidR="0004324E" w:rsidRDefault="0004324E" w:rsidP="0004324E">
      <w:pPr>
        <w:pStyle w:val="Paragraphedeliste"/>
        <w:numPr>
          <w:ilvl w:val="0"/>
          <w:numId w:val="31"/>
        </w:numPr>
        <w:tabs>
          <w:tab w:val="left" w:pos="1307"/>
        </w:tabs>
        <w:jc w:val="both"/>
        <w:rPr>
          <w:rFonts w:asciiTheme="majorHAnsi" w:hAnsiTheme="majorHAnsi" w:cstheme="majorHAnsi"/>
        </w:rPr>
      </w:pPr>
      <w:r>
        <w:rPr>
          <w:rFonts w:asciiTheme="majorHAnsi" w:hAnsiTheme="majorHAnsi" w:cstheme="majorHAnsi"/>
        </w:rPr>
        <w:t xml:space="preserve">Un </w:t>
      </w:r>
      <w:hyperlink r:id="rId32" w:history="1">
        <w:r>
          <w:rPr>
            <w:rStyle w:val="Lienhypertexte"/>
            <w:rFonts w:asciiTheme="majorHAnsi" w:hAnsiTheme="majorHAnsi" w:cstheme="majorHAnsi"/>
          </w:rPr>
          <w:t>portail</w:t>
        </w:r>
      </w:hyperlink>
      <w:r>
        <w:rPr>
          <w:rFonts w:asciiTheme="majorHAnsi" w:hAnsiTheme="majorHAnsi" w:cstheme="majorHAnsi"/>
        </w:rPr>
        <w:t xml:space="preserve"> de recherche de partenaires</w:t>
      </w:r>
    </w:p>
    <w:p w14:paraId="3B8996ED" w14:textId="77777777" w:rsidR="0004324E" w:rsidRDefault="0004324E" w:rsidP="0004324E">
      <w:pPr>
        <w:tabs>
          <w:tab w:val="left" w:pos="1307"/>
        </w:tabs>
        <w:jc w:val="both"/>
      </w:pPr>
    </w:p>
    <w:p w14:paraId="286FCC81" w14:textId="77777777" w:rsidR="0004324E" w:rsidRDefault="0004324E" w:rsidP="0004324E">
      <w:pPr>
        <w:tabs>
          <w:tab w:val="left" w:pos="1307"/>
        </w:tabs>
        <w:jc w:val="both"/>
      </w:pPr>
      <w:r>
        <w:t xml:space="preserve">N’hésitez pas à consulter également le site internet Horizon Europe du </w:t>
      </w:r>
      <w:hyperlink r:id="rId33" w:history="1">
        <w:r>
          <w:rPr>
            <w:rStyle w:val="Lienhypertexte"/>
          </w:rPr>
          <w:t>MESRI</w:t>
        </w:r>
      </w:hyperlink>
      <w:r>
        <w:t xml:space="preserve">, ni celui de la </w:t>
      </w:r>
      <w:hyperlink r:id="rId34" w:history="1">
        <w:r>
          <w:rPr>
            <w:rStyle w:val="Lienhypertexte"/>
          </w:rPr>
          <w:t>Commission européenne</w:t>
        </w:r>
      </w:hyperlink>
      <w:r>
        <w:t>.</w:t>
      </w:r>
    </w:p>
    <w:p w14:paraId="64053280" w14:textId="77777777" w:rsidR="0004324E" w:rsidRDefault="0004324E" w:rsidP="0004324E">
      <w:pPr>
        <w:tabs>
          <w:tab w:val="left" w:pos="1307"/>
        </w:tabs>
        <w:jc w:val="both"/>
      </w:pPr>
    </w:p>
    <w:p w14:paraId="4E4B4D52" w14:textId="326C9BB7" w:rsidR="003D07F3" w:rsidRPr="007E3367" w:rsidRDefault="0004324E" w:rsidP="007E3367">
      <w:pPr>
        <w:tabs>
          <w:tab w:val="left" w:pos="1307"/>
        </w:tabs>
        <w:jc w:val="both"/>
      </w:pPr>
      <w:r>
        <w:t xml:space="preserve">Enfin, la plateforme Cordis recense tous les projets financés par le programme cadre depuis sa création en 1993, elle est disponible </w:t>
      </w:r>
      <w:hyperlink r:id="rId35" w:history="1">
        <w:r>
          <w:rPr>
            <w:rStyle w:val="Lienhypertexte"/>
          </w:rPr>
          <w:t>ici</w:t>
        </w:r>
      </w:hyperlink>
      <w:r>
        <w:t>.</w:t>
      </w:r>
    </w:p>
    <w:sectPr w:rsidR="003D07F3" w:rsidRPr="007E3367">
      <w:headerReference w:type="default" r:id="rId36"/>
      <w:footerReference w:type="even" r:id="rId37"/>
      <w:footerReference w:type="default" r:id="rId38"/>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84E19" w14:textId="77777777" w:rsidR="000B3D25" w:rsidRDefault="000B3D25">
      <w:r>
        <w:separator/>
      </w:r>
    </w:p>
  </w:endnote>
  <w:endnote w:type="continuationSeparator" w:id="0">
    <w:p w14:paraId="3551E290" w14:textId="77777777" w:rsidR="000B3D25" w:rsidRDefault="000B3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charset w:val="00"/>
    <w:family w:val="swiss"/>
    <w:pitch w:val="variable"/>
    <w:sig w:usb0="E0000AFF" w:usb1="500078FF" w:usb2="00000021" w:usb3="00000000" w:csb0="000001B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D34040" w14:paraId="4046B859" w14:textId="77777777">
      <w:tc>
        <w:tcPr>
          <w:tcW w:w="1661" w:type="dxa"/>
        </w:tcPr>
        <w:p w14:paraId="00000049"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D34040" w:rsidRDefault="00D34040">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5B10" w14:textId="77777777" w:rsidR="000B3D25" w:rsidRDefault="000B3D25">
      <w:r>
        <w:separator/>
      </w:r>
    </w:p>
  </w:footnote>
  <w:footnote w:type="continuationSeparator" w:id="0">
    <w:p w14:paraId="6165AEB0" w14:textId="77777777" w:rsidR="000B3D25" w:rsidRDefault="000B3D25">
      <w:r>
        <w:continuationSeparator/>
      </w:r>
    </w:p>
  </w:footnote>
  <w:footnote w:id="1">
    <w:p w14:paraId="6FF574FC" w14:textId="77777777" w:rsidR="007765E3" w:rsidRDefault="007765E3" w:rsidP="007765E3">
      <w:pPr>
        <w:pStyle w:val="Notedebasdepage"/>
      </w:pPr>
      <w:r>
        <w:rPr>
          <w:rStyle w:val="Appelnotedebasdep"/>
        </w:rPr>
        <w:footnoteRef/>
      </w:r>
      <w:r>
        <w:t xml:space="preserve"> Cette présentation est une présentation simplifiée, d’autres types de coûts pouvant être éligibles selon le volet où l’on se situe, mais est la présentation la plus commune pour les projets du pilier 2 et s’appliquera dont aux projets du Cluster 1 « Santé »</w:t>
      </w:r>
    </w:p>
  </w:footnote>
  <w:footnote w:id="2">
    <w:p w14:paraId="3695C8E1" w14:textId="41E52787" w:rsidR="007765E3" w:rsidRDefault="007765E3" w:rsidP="007765E3">
      <w:pPr>
        <w:pStyle w:val="Notedebasdepage"/>
      </w:pPr>
      <w:r>
        <w:rPr>
          <w:rStyle w:val="Appelnotedebasdep"/>
        </w:rPr>
        <w:footnoteRef/>
      </w:r>
      <w:r>
        <w:t xml:space="preserve"> Voir la fiche « H</w:t>
      </w:r>
      <w:r w:rsidR="0008070C">
        <w:t xml:space="preserve">orizon </w:t>
      </w:r>
      <w:r>
        <w:t>E</w:t>
      </w:r>
      <w:r w:rsidR="0008070C">
        <w:t>urope</w:t>
      </w:r>
      <w:r>
        <w:t xml:space="preserve"> – Présentation générale » pour la définition des différentes catégories de participants</w:t>
      </w:r>
    </w:p>
  </w:footnote>
  <w:footnote w:id="3">
    <w:p w14:paraId="2B4837C8" w14:textId="77777777" w:rsidR="007765E3" w:rsidRDefault="007765E3" w:rsidP="007765E3">
      <w:pPr>
        <w:pStyle w:val="Notedebasdepage"/>
      </w:pPr>
      <w:r>
        <w:rPr>
          <w:rStyle w:val="Appelnotedebasdep"/>
        </w:rPr>
        <w:footnoteRef/>
      </w:r>
      <w:r>
        <w:t xml:space="preserve"> Pour 2014-2020, 123 pays étaient concernés, le programme couvre donc quasiment l’ensemble des Etats existants.</w:t>
      </w:r>
    </w:p>
  </w:footnote>
  <w:footnote w:id="4">
    <w:p w14:paraId="2D588D46" w14:textId="25A2427A" w:rsidR="00877C03" w:rsidRDefault="00877C03">
      <w:pPr>
        <w:pStyle w:val="Notedebasdepage"/>
      </w:pPr>
      <w:r>
        <w:rPr>
          <w:rStyle w:val="Appelnotedebasdep"/>
        </w:rPr>
        <w:footnoteRef/>
      </w:r>
      <w:r>
        <w:t xml:space="preserve"> Il s’agit d’un lien vers une version provisoire de la convention de subvention, il conviendra de consulter la version finale lorsqu’elle sera publiée.</w:t>
      </w:r>
    </w:p>
  </w:footnote>
  <w:footnote w:id="5">
    <w:p w14:paraId="290FA842" w14:textId="73B79BF8" w:rsidR="00877C03" w:rsidRDefault="00877C03">
      <w:pPr>
        <w:pStyle w:val="Notedebasdepage"/>
      </w:pPr>
      <w:r>
        <w:rPr>
          <w:rStyle w:val="Appelnotedebasdep"/>
        </w:rPr>
        <w:footnoteRef/>
      </w:r>
      <w:r>
        <w:t xml:space="preserve"> Il s’agit de fiches explicatives relatives au programme Horizon 2020. Il conviendra de consulter celles relatives à Horizon Europe dès qu’elles seront disponibles sur </w:t>
      </w:r>
      <w:hyperlink r:id="rId1" w:history="1">
        <w:r w:rsidRPr="00877C03">
          <w:rPr>
            <w:rStyle w:val="Lienhypertexte"/>
          </w:rPr>
          <w:t>le site du Ministère de l’Enseignement supérieur, de la recherche et de l’innovation</w:t>
        </w:r>
      </w:hyperlink>
      <w:r>
        <w:t>.</w:t>
      </w:r>
    </w:p>
  </w:footnote>
  <w:footnote w:id="6">
    <w:p w14:paraId="4D7CF429" w14:textId="347278A1" w:rsidR="00877C03" w:rsidRDefault="00877C03">
      <w:pPr>
        <w:pStyle w:val="Notedebasdepage"/>
      </w:pPr>
      <w:r>
        <w:rPr>
          <w:rStyle w:val="Appelnotedebasdep"/>
        </w:rPr>
        <w:footnoteRef/>
      </w:r>
      <w:r>
        <w:t xml:space="preserve"> Il s’agit d’une version provisoire, il conviendra de consulter la version définitive lorsqu’elle sera publiée.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D34040" w:rsidRDefault="00D34040">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1395"/>
    <w:multiLevelType w:val="hybridMultilevel"/>
    <w:tmpl w:val="5F10422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288486D"/>
    <w:multiLevelType w:val="hybridMultilevel"/>
    <w:tmpl w:val="63FE5F7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5B47A8"/>
    <w:multiLevelType w:val="hybridMultilevel"/>
    <w:tmpl w:val="69FEB9FA"/>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26D7B"/>
    <w:multiLevelType w:val="hybridMultilevel"/>
    <w:tmpl w:val="8A78C93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6B562C0"/>
    <w:multiLevelType w:val="hybridMultilevel"/>
    <w:tmpl w:val="44EA4ECC"/>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E92B9C"/>
    <w:multiLevelType w:val="hybridMultilevel"/>
    <w:tmpl w:val="8988A1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3AF3648"/>
    <w:multiLevelType w:val="multilevel"/>
    <w:tmpl w:val="34B69FB2"/>
    <w:lvl w:ilvl="0">
      <w:start w:val="1"/>
      <w:numFmt w:val="bullet"/>
      <w:lvlText w:val="⮚"/>
      <w:lvlJc w:val="left"/>
      <w:pPr>
        <w:ind w:left="360" w:hanging="360"/>
      </w:pPr>
      <w:rPr>
        <w:rFonts w:ascii="Noto Sans Symbols" w:eastAsia="Noto Sans Symbols" w:hAnsi="Noto Sans Symbols" w:cs="Noto Sans Symbols"/>
      </w:rPr>
    </w:lvl>
    <w:lvl w:ilvl="1">
      <w:start w:val="5"/>
      <w:numFmt w:val="bullet"/>
      <w:lvlText w:val="-"/>
      <w:lvlJc w:val="left"/>
      <w:pPr>
        <w:ind w:left="1080" w:hanging="360"/>
      </w:pPr>
      <w:rPr>
        <w:rFonts w:ascii="Calibri" w:eastAsiaTheme="minorHAnsi" w:hAnsi="Calibri" w:cs="Calibri"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2658395F"/>
    <w:multiLevelType w:val="hybridMultilevel"/>
    <w:tmpl w:val="76B20730"/>
    <w:lvl w:ilvl="0" w:tplc="ABEE419C">
      <w:start w:val="3"/>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2B64FD"/>
    <w:multiLevelType w:val="hybridMultilevel"/>
    <w:tmpl w:val="349821E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E1B6F03"/>
    <w:multiLevelType w:val="hybridMultilevel"/>
    <w:tmpl w:val="036CABC0"/>
    <w:lvl w:ilvl="0" w:tplc="7F9E781A">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F235F1"/>
    <w:multiLevelType w:val="hybridMultilevel"/>
    <w:tmpl w:val="4D3A1B6A"/>
    <w:lvl w:ilvl="0" w:tplc="A6E643B0">
      <w:numFmt w:val="bullet"/>
      <w:lvlText w:val="-"/>
      <w:lvlJc w:val="left"/>
      <w:pPr>
        <w:ind w:left="1080" w:hanging="360"/>
      </w:pPr>
      <w:rPr>
        <w:rFonts w:ascii="Calibri" w:eastAsia="Calibr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7B52287"/>
    <w:multiLevelType w:val="hybridMultilevel"/>
    <w:tmpl w:val="ADD8B07C"/>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7A6392"/>
    <w:multiLevelType w:val="hybridMultilevel"/>
    <w:tmpl w:val="2334021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994D78"/>
    <w:multiLevelType w:val="hybridMultilevel"/>
    <w:tmpl w:val="651E9F80"/>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65F83224"/>
    <w:multiLevelType w:val="hybridMultilevel"/>
    <w:tmpl w:val="76A86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2148C6"/>
    <w:multiLevelType w:val="hybridMultilevel"/>
    <w:tmpl w:val="E916B6CE"/>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D1634F0"/>
    <w:multiLevelType w:val="hybridMultilevel"/>
    <w:tmpl w:val="06FEB0B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DE002D3"/>
    <w:multiLevelType w:val="hybridMultilevel"/>
    <w:tmpl w:val="08F62E66"/>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1DB20CA"/>
    <w:multiLevelType w:val="hybridMultilevel"/>
    <w:tmpl w:val="2BA6D572"/>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B9316F"/>
    <w:multiLevelType w:val="hybridMultilevel"/>
    <w:tmpl w:val="41C0D818"/>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AC52FE3"/>
    <w:multiLevelType w:val="hybridMultilevel"/>
    <w:tmpl w:val="9C340D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7F617132"/>
    <w:multiLevelType w:val="hybridMultilevel"/>
    <w:tmpl w:val="421A30B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1"/>
  </w:num>
  <w:num w:numId="2">
    <w:abstractNumId w:val="20"/>
  </w:num>
  <w:num w:numId="3">
    <w:abstractNumId w:val="12"/>
  </w:num>
  <w:num w:numId="4">
    <w:abstractNumId w:val="23"/>
  </w:num>
  <w:num w:numId="5">
    <w:abstractNumId w:val="4"/>
  </w:num>
  <w:num w:numId="6">
    <w:abstractNumId w:val="13"/>
  </w:num>
  <w:num w:numId="7">
    <w:abstractNumId w:val="17"/>
  </w:num>
  <w:num w:numId="8">
    <w:abstractNumId w:val="15"/>
  </w:num>
  <w:num w:numId="9">
    <w:abstractNumId w:val="14"/>
  </w:num>
  <w:num w:numId="10">
    <w:abstractNumId w:val="22"/>
  </w:num>
  <w:num w:numId="11">
    <w:abstractNumId w:val="18"/>
  </w:num>
  <w:num w:numId="12">
    <w:abstractNumId w:val="28"/>
  </w:num>
  <w:num w:numId="13">
    <w:abstractNumId w:val="9"/>
  </w:num>
  <w:num w:numId="14">
    <w:abstractNumId w:val="19"/>
  </w:num>
  <w:num w:numId="15">
    <w:abstractNumId w:val="26"/>
  </w:num>
  <w:num w:numId="16">
    <w:abstractNumId w:val="21"/>
  </w:num>
  <w:num w:numId="17">
    <w:abstractNumId w:val="29"/>
  </w:num>
  <w:num w:numId="18">
    <w:abstractNumId w:val="6"/>
  </w:num>
  <w:num w:numId="19">
    <w:abstractNumId w:val="3"/>
  </w:num>
  <w:num w:numId="20">
    <w:abstractNumId w:val="16"/>
  </w:num>
  <w:num w:numId="21">
    <w:abstractNumId w:val="1"/>
  </w:num>
  <w:num w:numId="22">
    <w:abstractNumId w:val="25"/>
  </w:num>
  <w:num w:numId="23">
    <w:abstractNumId w:val="10"/>
  </w:num>
  <w:num w:numId="24">
    <w:abstractNumId w:val="27"/>
  </w:num>
  <w:num w:numId="25">
    <w:abstractNumId w:val="2"/>
  </w:num>
  <w:num w:numId="26">
    <w:abstractNumId w:val="5"/>
  </w:num>
  <w:num w:numId="27">
    <w:abstractNumId w:val="8"/>
  </w:num>
  <w:num w:numId="28">
    <w:abstractNumId w:val="12"/>
  </w:num>
  <w:num w:numId="29">
    <w:abstractNumId w:val="11"/>
  </w:num>
  <w:num w:numId="30">
    <w:abstractNumId w:val="29"/>
  </w:num>
  <w:num w:numId="31">
    <w:abstractNumId w:val="5"/>
  </w:num>
  <w:num w:numId="32">
    <w:abstractNumId w:val="7"/>
  </w:num>
  <w:num w:numId="33">
    <w:abstractNumId w:val="0"/>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11315"/>
    <w:rsid w:val="000139FC"/>
    <w:rsid w:val="000249CA"/>
    <w:rsid w:val="00032FE4"/>
    <w:rsid w:val="00037BCA"/>
    <w:rsid w:val="00037D79"/>
    <w:rsid w:val="0004324E"/>
    <w:rsid w:val="00047829"/>
    <w:rsid w:val="000550DA"/>
    <w:rsid w:val="0005764D"/>
    <w:rsid w:val="00071F7F"/>
    <w:rsid w:val="0008070C"/>
    <w:rsid w:val="00085DFA"/>
    <w:rsid w:val="0008624D"/>
    <w:rsid w:val="000944F4"/>
    <w:rsid w:val="000B3D25"/>
    <w:rsid w:val="000D353A"/>
    <w:rsid w:val="000D54A4"/>
    <w:rsid w:val="000D799A"/>
    <w:rsid w:val="000F0837"/>
    <w:rsid w:val="000F4C26"/>
    <w:rsid w:val="00100D2C"/>
    <w:rsid w:val="001050C1"/>
    <w:rsid w:val="00115F38"/>
    <w:rsid w:val="00123887"/>
    <w:rsid w:val="001307F4"/>
    <w:rsid w:val="00141A49"/>
    <w:rsid w:val="0017175C"/>
    <w:rsid w:val="00195956"/>
    <w:rsid w:val="001B0059"/>
    <w:rsid w:val="001B0D68"/>
    <w:rsid w:val="001E124C"/>
    <w:rsid w:val="001E5A62"/>
    <w:rsid w:val="001F1809"/>
    <w:rsid w:val="00200FC3"/>
    <w:rsid w:val="002022B1"/>
    <w:rsid w:val="00211C1C"/>
    <w:rsid w:val="00226544"/>
    <w:rsid w:val="0023520E"/>
    <w:rsid w:val="00235298"/>
    <w:rsid w:val="002352FF"/>
    <w:rsid w:val="00252C72"/>
    <w:rsid w:val="002643DF"/>
    <w:rsid w:val="002658F9"/>
    <w:rsid w:val="0026654F"/>
    <w:rsid w:val="00266EA7"/>
    <w:rsid w:val="002A4B38"/>
    <w:rsid w:val="002B094C"/>
    <w:rsid w:val="002B3F35"/>
    <w:rsid w:val="002B7BB0"/>
    <w:rsid w:val="002C36CA"/>
    <w:rsid w:val="002D0572"/>
    <w:rsid w:val="002D0876"/>
    <w:rsid w:val="002D1257"/>
    <w:rsid w:val="002D3B15"/>
    <w:rsid w:val="002D713C"/>
    <w:rsid w:val="002D736A"/>
    <w:rsid w:val="002F1E2B"/>
    <w:rsid w:val="00300D98"/>
    <w:rsid w:val="00302C26"/>
    <w:rsid w:val="003112CA"/>
    <w:rsid w:val="00315F8A"/>
    <w:rsid w:val="003254E0"/>
    <w:rsid w:val="00330D04"/>
    <w:rsid w:val="0033437A"/>
    <w:rsid w:val="00346EA6"/>
    <w:rsid w:val="003477CE"/>
    <w:rsid w:val="00351F9E"/>
    <w:rsid w:val="003735E4"/>
    <w:rsid w:val="0037750E"/>
    <w:rsid w:val="00382968"/>
    <w:rsid w:val="003D07F3"/>
    <w:rsid w:val="003D5CA5"/>
    <w:rsid w:val="00411B18"/>
    <w:rsid w:val="00413D68"/>
    <w:rsid w:val="004245B4"/>
    <w:rsid w:val="00424D22"/>
    <w:rsid w:val="00441E79"/>
    <w:rsid w:val="00445B1D"/>
    <w:rsid w:val="004472C8"/>
    <w:rsid w:val="00463C4E"/>
    <w:rsid w:val="00466F4D"/>
    <w:rsid w:val="00467F28"/>
    <w:rsid w:val="00481544"/>
    <w:rsid w:val="00482C11"/>
    <w:rsid w:val="004A4A6C"/>
    <w:rsid w:val="004C21F8"/>
    <w:rsid w:val="004E2FEF"/>
    <w:rsid w:val="004F46ED"/>
    <w:rsid w:val="00503AD5"/>
    <w:rsid w:val="00511B22"/>
    <w:rsid w:val="0051765A"/>
    <w:rsid w:val="00523177"/>
    <w:rsid w:val="00535C75"/>
    <w:rsid w:val="00540B0F"/>
    <w:rsid w:val="00550D53"/>
    <w:rsid w:val="0055332E"/>
    <w:rsid w:val="00556249"/>
    <w:rsid w:val="005819A3"/>
    <w:rsid w:val="0058550F"/>
    <w:rsid w:val="005923B2"/>
    <w:rsid w:val="005A31C3"/>
    <w:rsid w:val="005A38AF"/>
    <w:rsid w:val="005A72DF"/>
    <w:rsid w:val="005B3BAF"/>
    <w:rsid w:val="005C431F"/>
    <w:rsid w:val="005D76AF"/>
    <w:rsid w:val="005E60D4"/>
    <w:rsid w:val="0061196A"/>
    <w:rsid w:val="006153F1"/>
    <w:rsid w:val="00620CF4"/>
    <w:rsid w:val="006226D6"/>
    <w:rsid w:val="00653F88"/>
    <w:rsid w:val="00654BD2"/>
    <w:rsid w:val="00656F03"/>
    <w:rsid w:val="00661DA5"/>
    <w:rsid w:val="00662CD8"/>
    <w:rsid w:val="0067672C"/>
    <w:rsid w:val="00682ABF"/>
    <w:rsid w:val="006929D3"/>
    <w:rsid w:val="0069485E"/>
    <w:rsid w:val="006A014C"/>
    <w:rsid w:val="006D2F67"/>
    <w:rsid w:val="006D7F2A"/>
    <w:rsid w:val="007051C1"/>
    <w:rsid w:val="00706999"/>
    <w:rsid w:val="007110C5"/>
    <w:rsid w:val="0071744F"/>
    <w:rsid w:val="00721323"/>
    <w:rsid w:val="00723B5C"/>
    <w:rsid w:val="007258CB"/>
    <w:rsid w:val="00732585"/>
    <w:rsid w:val="00734C73"/>
    <w:rsid w:val="007350F1"/>
    <w:rsid w:val="00746390"/>
    <w:rsid w:val="00754CB4"/>
    <w:rsid w:val="00756436"/>
    <w:rsid w:val="0075699C"/>
    <w:rsid w:val="00757448"/>
    <w:rsid w:val="00771746"/>
    <w:rsid w:val="007740DC"/>
    <w:rsid w:val="007755D9"/>
    <w:rsid w:val="007765E3"/>
    <w:rsid w:val="007A19B4"/>
    <w:rsid w:val="007A51CE"/>
    <w:rsid w:val="007A5979"/>
    <w:rsid w:val="007A683C"/>
    <w:rsid w:val="007B2B31"/>
    <w:rsid w:val="007C30A6"/>
    <w:rsid w:val="007D6156"/>
    <w:rsid w:val="007D7F68"/>
    <w:rsid w:val="007E3367"/>
    <w:rsid w:val="00804BF3"/>
    <w:rsid w:val="00822D83"/>
    <w:rsid w:val="00836639"/>
    <w:rsid w:val="008513CA"/>
    <w:rsid w:val="00877C03"/>
    <w:rsid w:val="00877D6E"/>
    <w:rsid w:val="0088308B"/>
    <w:rsid w:val="00885C4F"/>
    <w:rsid w:val="008926DD"/>
    <w:rsid w:val="00893DDB"/>
    <w:rsid w:val="008A0B78"/>
    <w:rsid w:val="008B33B7"/>
    <w:rsid w:val="008D3448"/>
    <w:rsid w:val="008E08FF"/>
    <w:rsid w:val="008E0CBB"/>
    <w:rsid w:val="008E59AB"/>
    <w:rsid w:val="008F7158"/>
    <w:rsid w:val="009014CE"/>
    <w:rsid w:val="009062CC"/>
    <w:rsid w:val="00910B1F"/>
    <w:rsid w:val="00932D39"/>
    <w:rsid w:val="009407B7"/>
    <w:rsid w:val="00941847"/>
    <w:rsid w:val="00951471"/>
    <w:rsid w:val="00955F14"/>
    <w:rsid w:val="009748AD"/>
    <w:rsid w:val="00981387"/>
    <w:rsid w:val="009926BF"/>
    <w:rsid w:val="009B4387"/>
    <w:rsid w:val="009B732B"/>
    <w:rsid w:val="009F11AC"/>
    <w:rsid w:val="009F3395"/>
    <w:rsid w:val="009F646F"/>
    <w:rsid w:val="00A04682"/>
    <w:rsid w:val="00A04D8E"/>
    <w:rsid w:val="00A161F9"/>
    <w:rsid w:val="00A356C5"/>
    <w:rsid w:val="00A46600"/>
    <w:rsid w:val="00A55857"/>
    <w:rsid w:val="00A62543"/>
    <w:rsid w:val="00A64727"/>
    <w:rsid w:val="00A71A65"/>
    <w:rsid w:val="00A82A69"/>
    <w:rsid w:val="00A977BC"/>
    <w:rsid w:val="00AB31F8"/>
    <w:rsid w:val="00AC4963"/>
    <w:rsid w:val="00AD6915"/>
    <w:rsid w:val="00B11ABF"/>
    <w:rsid w:val="00B34036"/>
    <w:rsid w:val="00B42738"/>
    <w:rsid w:val="00B53A03"/>
    <w:rsid w:val="00B57658"/>
    <w:rsid w:val="00B6201B"/>
    <w:rsid w:val="00B62A41"/>
    <w:rsid w:val="00B67ECB"/>
    <w:rsid w:val="00B90DCF"/>
    <w:rsid w:val="00BB11C6"/>
    <w:rsid w:val="00BC239C"/>
    <w:rsid w:val="00BD3F7C"/>
    <w:rsid w:val="00BD7ECF"/>
    <w:rsid w:val="00BE46CF"/>
    <w:rsid w:val="00BF4E92"/>
    <w:rsid w:val="00C13E80"/>
    <w:rsid w:val="00C15F55"/>
    <w:rsid w:val="00C34222"/>
    <w:rsid w:val="00C34656"/>
    <w:rsid w:val="00C47BF3"/>
    <w:rsid w:val="00C57C5D"/>
    <w:rsid w:val="00C63453"/>
    <w:rsid w:val="00C70BAB"/>
    <w:rsid w:val="00C77971"/>
    <w:rsid w:val="00C82247"/>
    <w:rsid w:val="00C8309E"/>
    <w:rsid w:val="00C85A52"/>
    <w:rsid w:val="00C86DCA"/>
    <w:rsid w:val="00C97B38"/>
    <w:rsid w:val="00CB413C"/>
    <w:rsid w:val="00CB4FA0"/>
    <w:rsid w:val="00CC4E55"/>
    <w:rsid w:val="00CC781C"/>
    <w:rsid w:val="00CE1055"/>
    <w:rsid w:val="00CE2E5D"/>
    <w:rsid w:val="00D00138"/>
    <w:rsid w:val="00D027C7"/>
    <w:rsid w:val="00D11798"/>
    <w:rsid w:val="00D151CC"/>
    <w:rsid w:val="00D329BD"/>
    <w:rsid w:val="00D34040"/>
    <w:rsid w:val="00D458D9"/>
    <w:rsid w:val="00D6018D"/>
    <w:rsid w:val="00D823D8"/>
    <w:rsid w:val="00D9374C"/>
    <w:rsid w:val="00DA7566"/>
    <w:rsid w:val="00DC159E"/>
    <w:rsid w:val="00DD17EE"/>
    <w:rsid w:val="00DD2E80"/>
    <w:rsid w:val="00DD7154"/>
    <w:rsid w:val="00E05569"/>
    <w:rsid w:val="00E15DF1"/>
    <w:rsid w:val="00E21BA8"/>
    <w:rsid w:val="00E34526"/>
    <w:rsid w:val="00E417D2"/>
    <w:rsid w:val="00E63198"/>
    <w:rsid w:val="00E7402D"/>
    <w:rsid w:val="00E809B4"/>
    <w:rsid w:val="00EB0702"/>
    <w:rsid w:val="00EC651F"/>
    <w:rsid w:val="00EF72B9"/>
    <w:rsid w:val="00F12039"/>
    <w:rsid w:val="00F30392"/>
    <w:rsid w:val="00F30E04"/>
    <w:rsid w:val="00F47C47"/>
    <w:rsid w:val="00F522B6"/>
    <w:rsid w:val="00F544BE"/>
    <w:rsid w:val="00F838CD"/>
    <w:rsid w:val="00F84101"/>
    <w:rsid w:val="00F857DD"/>
    <w:rsid w:val="00F95C6D"/>
    <w:rsid w:val="00FA2CE0"/>
    <w:rsid w:val="00FD47F3"/>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5"/>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7D7F68"/>
    <w:pPr>
      <w:spacing w:before="100" w:beforeAutospacing="1" w:after="100" w:afterAutospacing="1"/>
    </w:pPr>
    <w:rPr>
      <w:rFonts w:ascii="Times New Roman" w:eastAsia="Times New Roman" w:hAnsi="Times New Roman" w:cs="Times New Roman"/>
      <w:sz w:val="24"/>
      <w:szCs w:val="24"/>
    </w:rPr>
  </w:style>
  <w:style w:type="character" w:styleId="lev">
    <w:name w:val="Strong"/>
    <w:basedOn w:val="Policepardfaut"/>
    <w:uiPriority w:val="22"/>
    <w:qFormat/>
    <w:rsid w:val="007D7F68"/>
    <w:rPr>
      <w:b/>
      <w:bCs/>
    </w:rPr>
  </w:style>
  <w:style w:type="paragraph" w:customStyle="1" w:styleId="Default">
    <w:name w:val="Default"/>
    <w:rsid w:val="00047829"/>
    <w:pPr>
      <w:autoSpaceDE w:val="0"/>
      <w:autoSpaceDN w:val="0"/>
      <w:adjustRightInd w:val="0"/>
    </w:pPr>
    <w:rPr>
      <w:color w:val="000000"/>
      <w:sz w:val="24"/>
      <w:szCs w:val="24"/>
    </w:rPr>
  </w:style>
  <w:style w:type="paragraph" w:styleId="PrformatHTML">
    <w:name w:val="HTML Preformatted"/>
    <w:basedOn w:val="Normal"/>
    <w:link w:val="PrformatHTMLCar"/>
    <w:uiPriority w:val="99"/>
    <w:semiHidden/>
    <w:unhideWhenUsed/>
    <w:rsid w:val="005D76AF"/>
    <w:rPr>
      <w:rFonts w:ascii="Consolas" w:hAnsi="Consolas"/>
      <w:sz w:val="20"/>
      <w:szCs w:val="20"/>
    </w:rPr>
  </w:style>
  <w:style w:type="character" w:customStyle="1" w:styleId="PrformatHTMLCar">
    <w:name w:val="Préformaté HTML Car"/>
    <w:basedOn w:val="Policepardfaut"/>
    <w:link w:val="PrformatHTML"/>
    <w:uiPriority w:val="99"/>
    <w:semiHidden/>
    <w:rsid w:val="005D76AF"/>
    <w:rPr>
      <w:rFonts w:ascii="Consolas" w:hAnsi="Consolas"/>
      <w:sz w:val="20"/>
      <w:szCs w:val="20"/>
    </w:rPr>
  </w:style>
  <w:style w:type="table" w:styleId="TableauGrille3-Accentuation4">
    <w:name w:val="Grid Table 3 Accent 4"/>
    <w:basedOn w:val="TableauNormal"/>
    <w:uiPriority w:val="48"/>
    <w:rsid w:val="00885C4F"/>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5934">
      <w:bodyDiv w:val="1"/>
      <w:marLeft w:val="0"/>
      <w:marRight w:val="0"/>
      <w:marTop w:val="0"/>
      <w:marBottom w:val="0"/>
      <w:divBdr>
        <w:top w:val="none" w:sz="0" w:space="0" w:color="auto"/>
        <w:left w:val="none" w:sz="0" w:space="0" w:color="auto"/>
        <w:bottom w:val="none" w:sz="0" w:space="0" w:color="auto"/>
        <w:right w:val="none" w:sz="0" w:space="0" w:color="auto"/>
      </w:divBdr>
    </w:div>
    <w:div w:id="127405441">
      <w:bodyDiv w:val="1"/>
      <w:marLeft w:val="0"/>
      <w:marRight w:val="0"/>
      <w:marTop w:val="0"/>
      <w:marBottom w:val="0"/>
      <w:divBdr>
        <w:top w:val="none" w:sz="0" w:space="0" w:color="auto"/>
        <w:left w:val="none" w:sz="0" w:space="0" w:color="auto"/>
        <w:bottom w:val="none" w:sz="0" w:space="0" w:color="auto"/>
        <w:right w:val="none" w:sz="0" w:space="0" w:color="auto"/>
      </w:divBdr>
    </w:div>
    <w:div w:id="679091441">
      <w:bodyDiv w:val="1"/>
      <w:marLeft w:val="0"/>
      <w:marRight w:val="0"/>
      <w:marTop w:val="0"/>
      <w:marBottom w:val="0"/>
      <w:divBdr>
        <w:top w:val="none" w:sz="0" w:space="0" w:color="auto"/>
        <w:left w:val="none" w:sz="0" w:space="0" w:color="auto"/>
        <w:bottom w:val="none" w:sz="0" w:space="0" w:color="auto"/>
        <w:right w:val="none" w:sz="0" w:space="0" w:color="auto"/>
      </w:divBdr>
    </w:div>
    <w:div w:id="723869755">
      <w:bodyDiv w:val="1"/>
      <w:marLeft w:val="0"/>
      <w:marRight w:val="0"/>
      <w:marTop w:val="0"/>
      <w:marBottom w:val="0"/>
      <w:divBdr>
        <w:top w:val="none" w:sz="0" w:space="0" w:color="auto"/>
        <w:left w:val="none" w:sz="0" w:space="0" w:color="auto"/>
        <w:bottom w:val="none" w:sz="0" w:space="0" w:color="auto"/>
        <w:right w:val="none" w:sz="0" w:space="0" w:color="auto"/>
      </w:divBdr>
    </w:div>
    <w:div w:id="726957306">
      <w:bodyDiv w:val="1"/>
      <w:marLeft w:val="0"/>
      <w:marRight w:val="0"/>
      <w:marTop w:val="0"/>
      <w:marBottom w:val="0"/>
      <w:divBdr>
        <w:top w:val="none" w:sz="0" w:space="0" w:color="auto"/>
        <w:left w:val="none" w:sz="0" w:space="0" w:color="auto"/>
        <w:bottom w:val="none" w:sz="0" w:space="0" w:color="auto"/>
        <w:right w:val="none" w:sz="0" w:space="0" w:color="auto"/>
      </w:divBdr>
    </w:div>
    <w:div w:id="994333774">
      <w:bodyDiv w:val="1"/>
      <w:marLeft w:val="0"/>
      <w:marRight w:val="0"/>
      <w:marTop w:val="0"/>
      <w:marBottom w:val="0"/>
      <w:divBdr>
        <w:top w:val="none" w:sz="0" w:space="0" w:color="auto"/>
        <w:left w:val="none" w:sz="0" w:space="0" w:color="auto"/>
        <w:bottom w:val="none" w:sz="0" w:space="0" w:color="auto"/>
        <w:right w:val="none" w:sz="0" w:space="0" w:color="auto"/>
      </w:divBdr>
    </w:div>
    <w:div w:id="1145858504">
      <w:bodyDiv w:val="1"/>
      <w:marLeft w:val="0"/>
      <w:marRight w:val="0"/>
      <w:marTop w:val="0"/>
      <w:marBottom w:val="0"/>
      <w:divBdr>
        <w:top w:val="none" w:sz="0" w:space="0" w:color="auto"/>
        <w:left w:val="none" w:sz="0" w:space="0" w:color="auto"/>
        <w:bottom w:val="none" w:sz="0" w:space="0" w:color="auto"/>
        <w:right w:val="none" w:sz="0" w:space="0" w:color="auto"/>
      </w:divBdr>
    </w:div>
    <w:div w:id="1230771595">
      <w:bodyDiv w:val="1"/>
      <w:marLeft w:val="0"/>
      <w:marRight w:val="0"/>
      <w:marTop w:val="0"/>
      <w:marBottom w:val="0"/>
      <w:divBdr>
        <w:top w:val="none" w:sz="0" w:space="0" w:color="auto"/>
        <w:left w:val="none" w:sz="0" w:space="0" w:color="auto"/>
        <w:bottom w:val="none" w:sz="0" w:space="0" w:color="auto"/>
        <w:right w:val="none" w:sz="0" w:space="0" w:color="auto"/>
      </w:divBdr>
    </w:div>
    <w:div w:id="1949003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20https:/www.horizon2020.gouv.fr/cid81981/les-differents-types-de-financements.html" TargetMode="External"/><Relationship Id="rId18" Type="http://schemas.openxmlformats.org/officeDocument/2006/relationships/hyperlink" Target="https://ec.europa.eu/info/funding-tenders/opportunities/docs/2021-2027/common/agr-contr/general-mga_horizon-euratom_en.pdf" TargetMode="External"/><Relationship Id="rId26" Type="http://schemas.openxmlformats.org/officeDocument/2006/relationships/hyperlink" Target="https://cordis.europa.eu/project/id/689954/fr" TargetMode="External"/><Relationship Id="rId39" Type="http://schemas.openxmlformats.org/officeDocument/2006/relationships/fontTable" Target="fontTable.xml"/><Relationship Id="rId21" Type="http://schemas.openxmlformats.org/officeDocument/2006/relationships/hyperlink" Target="https://www.horizon2020.gouv.fr/cid86592/les-fiches-pratiques-pcn-juridique-financier.html" TargetMode="External"/><Relationship Id="rId34" Type="http://schemas.openxmlformats.org/officeDocument/2006/relationships/hyperlink" Target="https://ec.europa.eu/info/research-and-innovation/funding/funding-opportunities/funding-programmes-and-open-calls/horizon-europe_en" TargetMode="External"/><Relationship Id="rId7" Type="http://schemas.openxmlformats.org/officeDocument/2006/relationships/footnotes" Target="footnotes.xml"/><Relationship Id="rId12" Type="http://schemas.openxmlformats.org/officeDocument/2006/relationships/hyperlink" Target="https://www.horizon-europe.gouv.fr/sites/default/files/2021-02/horizon-europe---pr-sentation-2551.pdf" TargetMode="External"/><Relationship Id="rId17" Type="http://schemas.openxmlformats.org/officeDocument/2006/relationships/hyperlink" Target="https://www.horizon2020.gouv.fr/cid76866/liste-des-pays-associes-horizon-2020.html" TargetMode="External"/><Relationship Id="rId25" Type="http://schemas.openxmlformats.org/officeDocument/2006/relationships/hyperlink" Target="https://www.iscapeproject.eu/contact-us/" TargetMode="External"/><Relationship Id="rId33" Type="http://schemas.openxmlformats.org/officeDocument/2006/relationships/hyperlink" Target="https://www.horizon-europe.gouv.fr/"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lescahiersdelinnovation.com/" TargetMode="External"/><Relationship Id="rId20" Type="http://schemas.openxmlformats.org/officeDocument/2006/relationships/hyperlink" Target="https://cache.media.education.gouv.fr/file/Fiches_pratiques_du_PCN_juridique_et_financier/49/1/20150226_audits_396491.pdf" TargetMode="External"/><Relationship Id="rId29" Type="http://schemas.openxmlformats.org/officeDocument/2006/relationships/hyperlink" Target="https://www.horizon-europe.gouv.fr/numerique-industrie-et-espace-240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cordis.europa.eu/project/id/604325" TargetMode="External"/><Relationship Id="rId32" Type="http://schemas.openxmlformats.org/officeDocument/2006/relationships/hyperlink" Target="https://ec.europa.eu/info/funding-tenders/opportunities/portal/screen/how-to-participate/partner-search"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s://www.efficience-marketing.com/contactez-nous/" TargetMode="External"/><Relationship Id="rId28" Type="http://schemas.openxmlformats.org/officeDocument/2006/relationships/hyperlink" Target="https://www.horizon-europe.gouv.fr/les-points-de-contact-nationaux-24230" TargetMode="External"/><Relationship Id="rId36" Type="http://schemas.openxmlformats.org/officeDocument/2006/relationships/header" Target="header1.xml"/><Relationship Id="rId10" Type="http://schemas.openxmlformats.org/officeDocument/2006/relationships/hyperlink" Target="https://www.horizon-europe.gouv.fr/infoday-europeen-du-cluster-sante-24626" TargetMode="External"/><Relationship Id="rId19" Type="http://schemas.openxmlformats.org/officeDocument/2006/relationships/hyperlink" Target="https://ec.europa.eu/info/funding-tenders/opportunities/portal/screen/how-to-participate/reference-documents" TargetMode="External"/><Relationship Id="rId31" Type="http://schemas.openxmlformats.org/officeDocument/2006/relationships/hyperlink" Target="https://ec.europa.eu/info/funding-tenders/opportunities/portal/screen/home" TargetMode="Externa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hyperlink" Target="https://www.horizon-europe.gouv.fr/sites/default/files/2021-03/appels-cluster-1-2819.pdf" TargetMode="External"/><Relationship Id="rId22" Type="http://schemas.openxmlformats.org/officeDocument/2006/relationships/hyperlink" Target="https://cordis.europa.eu/project/id/965173" TargetMode="External"/><Relationship Id="rId27" Type="http://schemas.openxmlformats.org/officeDocument/2006/relationships/hyperlink" Target="https://www.iscapeproject.eu/" TargetMode="External"/><Relationship Id="rId30" Type="http://schemas.openxmlformats.org/officeDocument/2006/relationships/hyperlink" Target="https://ec.europa.eu/info/funding-tenders/opportunities/docs/2021-2027/horizon/wp-call/2021-2022/wp-4-health_horizon-2021-2022_en.pdf" TargetMode="External"/><Relationship Id="rId35" Type="http://schemas.openxmlformats.org/officeDocument/2006/relationships/hyperlink" Target="https://cordis.europa.eu/" TargetMode="External"/><Relationship Id="rId8" Type="http://schemas.openxmlformats.org/officeDocument/2006/relationships/endnotes" Target="endnotes.xml"/><Relationship Id="rId3"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s://www.horizon-europe.gouv.fr/"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jpg"/><Relationship Id="rId2" Type="http://schemas.openxmlformats.org/officeDocument/2006/relationships/image" Target="media/image5.jpg"/><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67ED07E5-32E6-44DD-A20C-736D1D87774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4350</Words>
  <Characters>23929</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248</cp:revision>
  <dcterms:created xsi:type="dcterms:W3CDTF">2020-12-16T09:19:00Z</dcterms:created>
  <dcterms:modified xsi:type="dcterms:W3CDTF">2021-06-30T08:00:00Z</dcterms:modified>
</cp:coreProperties>
</file>